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823"/>
      <w:bookmarkStart w:id="1" w:name="_Toc288738390"/>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江苏理工学院</w:t>
      </w:r>
      <w:r>
        <w:rPr>
          <w:rFonts w:hint="eastAsia" w:ascii="宋体" w:hAnsi="宋体" w:cs="宋体"/>
          <w:b/>
          <w:kern w:val="0"/>
          <w:sz w:val="44"/>
          <w:szCs w:val="44"/>
          <w:highlight w:val="none"/>
        </w:rPr>
        <w:t>信息</w:t>
      </w:r>
      <w:r>
        <w:rPr>
          <w:rFonts w:ascii="宋体" w:hAnsi="宋体" w:cs="宋体"/>
          <w:b/>
          <w:kern w:val="0"/>
          <w:sz w:val="44"/>
          <w:szCs w:val="44"/>
          <w:highlight w:val="none"/>
        </w:rPr>
        <w:t>系统等级保护测评</w:t>
      </w:r>
      <w:r>
        <w:rPr>
          <w:rFonts w:hint="eastAsia" w:ascii="宋体" w:hAnsi="宋体" w:cs="宋体"/>
          <w:b/>
          <w:kern w:val="0"/>
          <w:sz w:val="44"/>
          <w:szCs w:val="44"/>
        </w:rPr>
        <w:t xml:space="preserve">项目公开招标文件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ascii="宋体" w:hAnsi="宋体"/>
          <w:b/>
          <w:color w:val="0000FF"/>
          <w:sz w:val="28"/>
          <w:szCs w:val="32"/>
        </w:rPr>
      </w:pPr>
      <w:r>
        <w:rPr>
          <w:rFonts w:hint="eastAsia" w:ascii="宋体" w:hAnsi="宋体" w:cs="宋体"/>
          <w:b/>
          <w:kern w:val="0"/>
          <w:sz w:val="44"/>
          <w:szCs w:val="44"/>
        </w:rPr>
        <w:t>项目编号：</w:t>
      </w:r>
      <w:r>
        <w:rPr>
          <w:rFonts w:hint="eastAsia" w:ascii="宋体" w:hAnsi="宋体" w:cs="宋体"/>
          <w:b/>
          <w:kern w:val="0"/>
          <w:sz w:val="44"/>
          <w:szCs w:val="44"/>
          <w:highlight w:val="none"/>
        </w:rPr>
        <w:t>XEYSSQ20241003</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2024年</w:t>
      </w:r>
      <w:r>
        <w:rPr>
          <w:rFonts w:ascii="宋体" w:hAnsi="宋体"/>
          <w:b/>
          <w:sz w:val="28"/>
          <w:szCs w:val="32"/>
          <w:highlight w:val="none"/>
        </w:rPr>
        <w:t>10</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2" w:name="_Toc28359012"/>
      <w:bookmarkStart w:id="3" w:name="_Toc35393629"/>
      <w:bookmarkStart w:id="4" w:name="_Toc28359089"/>
      <w:bookmarkStart w:id="5" w:name="_Toc35393798"/>
      <w:bookmarkStart w:id="6" w:name="_Toc288738340"/>
      <w:bookmarkStart w:id="7" w:name="_Toc288738808"/>
      <w:bookmarkStart w:id="8" w:name="_Toc494470475"/>
      <w:r>
        <w:rPr>
          <w:rFonts w:hint="eastAsia" w:ascii="宋体" w:hAnsi="宋体" w:eastAsia="宋体" w:cs="宋体"/>
          <w:sz w:val="24"/>
          <w:szCs w:val="24"/>
        </w:rPr>
        <w:br w:type="page"/>
      </w:r>
      <w:r>
        <w:rPr>
          <w:rFonts w:hint="eastAsia" w:ascii="宋体" w:hAnsi="宋体" w:eastAsia="宋体" w:cs="宋体"/>
          <w:b/>
          <w:bCs/>
          <w:sz w:val="24"/>
          <w:szCs w:val="24"/>
        </w:rPr>
        <w:t>采购公告</w:t>
      </w:r>
      <w:bookmarkEnd w:id="2"/>
      <w:bookmarkEnd w:id="3"/>
      <w:bookmarkEnd w:id="4"/>
      <w:bookmarkEnd w:id="5"/>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rPr>
          <w:rFonts w:ascii="宋体" w:hAnsi="宋体" w:cs="宋体"/>
          <w:color w:val="0000FF"/>
          <w:sz w:val="24"/>
          <w:highlight w:val="none"/>
        </w:rPr>
      </w:pPr>
      <w:r>
        <w:rPr>
          <w:rFonts w:hint="eastAsia" w:ascii="宋体" w:hAnsi="宋体" w:cs="宋体"/>
          <w:color w:val="000000"/>
          <w:sz w:val="24"/>
        </w:rPr>
        <w:t>项目编号：</w:t>
      </w:r>
      <w:r>
        <w:rPr>
          <w:rFonts w:hint="eastAsia" w:ascii="宋体" w:hAnsi="宋体" w:cs="宋体"/>
          <w:color w:val="000000"/>
          <w:sz w:val="24"/>
          <w:highlight w:val="none"/>
        </w:rPr>
        <w:t>XEYSSQ20241003</w:t>
      </w:r>
    </w:p>
    <w:p>
      <w:pPr>
        <w:spacing w:line="360" w:lineRule="auto"/>
        <w:ind w:firstLine="480" w:firstLineChars="200"/>
        <w:outlineLvl w:val="0"/>
        <w:rPr>
          <w:rFonts w:ascii="宋体" w:hAnsi="宋体" w:cs="宋体"/>
          <w:color w:val="000000"/>
          <w:sz w:val="24"/>
        </w:rPr>
      </w:pPr>
      <w:r>
        <w:rPr>
          <w:rFonts w:hint="eastAsia" w:ascii="宋体" w:hAnsi="宋体" w:cs="宋体"/>
          <w:color w:val="000000"/>
          <w:sz w:val="24"/>
          <w:highlight w:val="none"/>
        </w:rPr>
        <w:t>项目名称：信息系统等级保护测评</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采购方式：公开招标</w:t>
      </w:r>
    </w:p>
    <w:p>
      <w:pPr>
        <w:tabs>
          <w:tab w:val="left" w:pos="900"/>
        </w:tabs>
        <w:spacing w:line="360" w:lineRule="auto"/>
        <w:ind w:firstLine="480" w:firstLineChars="200"/>
        <w:rPr>
          <w:rFonts w:ascii="宋体" w:hAnsi="宋体" w:cs="宋体"/>
          <w:color w:val="000000"/>
          <w:sz w:val="24"/>
          <w:highlight w:val="none"/>
        </w:rPr>
      </w:pPr>
      <w:r>
        <w:rPr>
          <w:rFonts w:hint="eastAsia" w:ascii="宋体" w:hAnsi="宋体" w:cs="宋体"/>
          <w:color w:val="000000"/>
          <w:sz w:val="24"/>
        </w:rPr>
        <w:t>预算金额：</w:t>
      </w:r>
      <w:r>
        <w:rPr>
          <w:rFonts w:ascii="宋体" w:hAnsi="宋体" w:cs="宋体"/>
          <w:color w:val="000000"/>
          <w:sz w:val="24"/>
          <w:highlight w:val="none"/>
        </w:rPr>
        <w:t>5</w:t>
      </w:r>
      <w:r>
        <w:rPr>
          <w:rFonts w:hint="eastAsia" w:ascii="宋体" w:hAnsi="宋体" w:cs="宋体"/>
          <w:color w:val="000000"/>
          <w:sz w:val="24"/>
          <w:highlight w:val="none"/>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highlight w:val="none"/>
        </w:rPr>
        <w:t>最高限额：</w:t>
      </w:r>
      <w:r>
        <w:rPr>
          <w:rFonts w:ascii="宋体" w:hAnsi="宋体" w:cs="宋体"/>
          <w:color w:val="000000"/>
          <w:sz w:val="24"/>
          <w:highlight w:val="none"/>
        </w:rPr>
        <w:t>5</w:t>
      </w:r>
      <w:r>
        <w:rPr>
          <w:rFonts w:hint="eastAsia" w:ascii="宋体" w:hAnsi="宋体" w:cs="宋体"/>
          <w:color w:val="000000"/>
          <w:sz w:val="24"/>
          <w:highlight w:val="none"/>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采购需求：详见采购文件</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服务期限：</w:t>
      </w:r>
      <w:r>
        <w:rPr>
          <w:rFonts w:ascii="宋体" w:hAnsi="宋体" w:cs="宋体"/>
          <w:color w:val="000000"/>
          <w:sz w:val="24"/>
          <w:highlight w:val="none"/>
        </w:rPr>
        <w:t>1</w:t>
      </w:r>
      <w:r>
        <w:rPr>
          <w:rFonts w:hint="eastAsia" w:ascii="宋体" w:hAnsi="宋体" w:cs="宋体"/>
          <w:color w:val="000000"/>
          <w:sz w:val="24"/>
          <w:highlight w:val="none"/>
        </w:rPr>
        <w:t>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9" w:name="_Toc35393630"/>
      <w:bookmarkStart w:id="10" w:name="_Toc28359090"/>
      <w:bookmarkStart w:id="11" w:name="_Toc35393799"/>
      <w:bookmarkStart w:id="12" w:name="_Toc28359013"/>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3" w:name="_Toc28359091"/>
      <w:bookmarkStart w:id="14" w:name="_Toc28359014"/>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5" w:name="_Toc35393800"/>
      <w:bookmarkStart w:id="16" w:name="_Toc35393631"/>
      <w:r>
        <w:rPr>
          <w:rFonts w:hint="eastAsia" w:ascii="宋体" w:hAnsi="宋体" w:cs="宋体"/>
          <w:color w:val="000000" w:themeColor="text1"/>
          <w:sz w:val="24"/>
          <w:highlight w:val="none"/>
          <w14:textFill>
            <w14:solidFill>
              <w14:schemeClr w14:val="tx1"/>
            </w14:solidFill>
          </w14:textFill>
        </w:rPr>
        <w:t>必须具有公安部第三研究所（国家认证认可委员会批准的认证机构）认证发放的《网络安全等级测评与检测评估机构服务认证证书》及公安部第三研究所颁发的服务认证证书保持通知。</w:t>
      </w:r>
    </w:p>
    <w:bookmarkEnd w:id="13"/>
    <w:bookmarkEnd w:id="14"/>
    <w:bookmarkEnd w:id="15"/>
    <w:bookmarkEnd w:id="16"/>
    <w:p>
      <w:pPr>
        <w:pStyle w:val="4"/>
        <w:spacing w:line="360" w:lineRule="auto"/>
        <w:rPr>
          <w:rFonts w:ascii="宋体" w:hAnsi="宋体" w:eastAsia="宋体" w:cs="宋体"/>
          <w:b/>
          <w:bCs/>
          <w:color w:val="000000"/>
          <w:kern w:val="2"/>
          <w:sz w:val="24"/>
          <w:szCs w:val="24"/>
        </w:rPr>
      </w:pPr>
      <w:bookmarkStart w:id="17" w:name="_Toc28359092"/>
      <w:bookmarkStart w:id="18" w:name="_Toc28359015"/>
      <w:bookmarkStart w:id="19" w:name="_Toc35393632"/>
      <w:bookmarkStart w:id="20" w:name="_Toc35393801"/>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递交时间</w:t>
      </w:r>
    </w:p>
    <w:p>
      <w:pPr>
        <w:tabs>
          <w:tab w:val="left" w:pos="900"/>
        </w:tabs>
        <w:spacing w:line="360" w:lineRule="auto"/>
        <w:ind w:firstLine="480" w:firstLineChars="200"/>
        <w:rPr>
          <w:rFonts w:ascii="宋体" w:hAnsi="宋体" w:cs="宋体"/>
          <w:color w:val="000000"/>
          <w:sz w:val="24"/>
          <w:highlight w:val="none"/>
        </w:rPr>
      </w:pPr>
      <w:r>
        <w:rPr>
          <w:rFonts w:hint="eastAsia" w:ascii="宋体" w:hAnsi="宋体" w:cs="宋体"/>
          <w:color w:val="000000"/>
          <w:sz w:val="24"/>
        </w:rPr>
        <w:t>截止时间：</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2024</w:t>
      </w:r>
      <w:r>
        <w:rPr>
          <w:rFonts w:hint="eastAsia" w:ascii="宋体" w:hAnsi="宋体" w:cs="宋体"/>
          <w:color w:val="000000" w:themeColor="text1"/>
          <w:sz w:val="24"/>
          <w:highlight w:val="none"/>
          <w14:textFill>
            <w14:solidFill>
              <w14:schemeClr w14:val="tx1"/>
            </w14:solidFill>
          </w14:textFill>
        </w:rPr>
        <w:t>年11月</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日9点0</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分（北京时间）</w:t>
      </w:r>
    </w:p>
    <w:p>
      <w:pPr>
        <w:tabs>
          <w:tab w:val="left" w:pos="900"/>
        </w:tabs>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点：江苏理工学院信息中</w:t>
      </w:r>
      <w:r>
        <w:rPr>
          <w:rFonts w:ascii="宋体" w:hAnsi="宋体" w:cs="宋体"/>
          <w:color w:val="000000"/>
          <w:sz w:val="24"/>
          <w:highlight w:val="none"/>
        </w:rPr>
        <w:t>心</w:t>
      </w:r>
    </w:p>
    <w:p>
      <w:pPr>
        <w:tabs>
          <w:tab w:val="left" w:pos="900"/>
        </w:tabs>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联系人及电话：吕老师 </w:t>
      </w:r>
      <w:r>
        <w:rPr>
          <w:rFonts w:ascii="宋体" w:hAnsi="宋体" w:cs="宋体"/>
          <w:color w:val="000000"/>
          <w:sz w:val="24"/>
          <w:highlight w:val="none"/>
        </w:rPr>
        <w:t xml:space="preserve">    0519-86953568</w:t>
      </w:r>
    </w:p>
    <w:p>
      <w:pPr>
        <w:pStyle w:val="4"/>
        <w:spacing w:line="360" w:lineRule="auto"/>
        <w:rPr>
          <w:rFonts w:ascii="宋体" w:hAnsi="宋体" w:eastAsia="宋体" w:cs="宋体"/>
          <w:b/>
          <w:bCs/>
          <w:color w:val="000000"/>
          <w:kern w:val="2"/>
          <w:sz w:val="24"/>
          <w:szCs w:val="24"/>
        </w:rPr>
      </w:pPr>
      <w:bookmarkStart w:id="21" w:name="_Toc35393804"/>
      <w:bookmarkStart w:id="22" w:name="_Toc35393635"/>
      <w:r>
        <w:rPr>
          <w:rFonts w:hint="eastAsia" w:ascii="宋体" w:hAnsi="宋体" w:eastAsia="宋体" w:cs="宋体"/>
          <w:b/>
          <w:bCs/>
          <w:color w:val="000000"/>
          <w:kern w:val="2"/>
          <w:sz w:val="24"/>
          <w:szCs w:val="24"/>
        </w:rPr>
        <w:t>四、</w:t>
      </w:r>
      <w:bookmarkEnd w:id="21"/>
      <w:bookmarkEnd w:id="22"/>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rPr>
        <w:t>. 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sz w:val="24"/>
          <w:lang w:val="en-US" w:eastAsia="zh-CN"/>
        </w:rPr>
        <w:t>提供投标人（法定代表人或授权委托人）</w:t>
      </w:r>
      <w:r>
        <w:rPr>
          <w:rFonts w:hint="eastAsia" w:ascii="宋体" w:hAnsi="宋体" w:cs="宋体"/>
          <w:b/>
          <w:bCs/>
          <w:sz w:val="24"/>
        </w:rPr>
        <w:t>缴纳的近</w:t>
      </w:r>
      <w:r>
        <w:rPr>
          <w:rFonts w:hint="eastAsia" w:ascii="宋体" w:hAnsi="宋体" w:cs="宋体"/>
          <w:b/>
          <w:bCs/>
          <w:sz w:val="24"/>
          <w:lang w:val="en-US" w:eastAsia="zh-CN"/>
        </w:rPr>
        <w:t>三</w:t>
      </w:r>
      <w:r>
        <w:rPr>
          <w:rFonts w:hint="eastAsia" w:ascii="宋体" w:hAnsi="宋体" w:cs="宋体"/>
          <w:b/>
          <w:bCs/>
          <w:sz w:val="24"/>
        </w:rPr>
        <w:t>个月社会基本养老保险的参保缴费证明（加盖社保部门签章或电子签章）（自投标截止时间往前推算）。</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报价表。（附件二）</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 分项报价表。（附件三）</w:t>
      </w:r>
    </w:p>
    <w:p>
      <w:pPr>
        <w:pStyle w:val="2"/>
      </w:pPr>
      <w:r>
        <w:rPr>
          <w:rFonts w:hint="eastAsia" w:ascii="宋体" w:hAnsi="宋体" w:cs="宋体"/>
          <w:sz w:val="24"/>
        </w:rPr>
        <w:t xml:space="preserve">      </w:t>
      </w:r>
      <w:r>
        <w:rPr>
          <w:rFonts w:hint="eastAsia" w:ascii="宋体" w:hAnsi="宋体" w:cs="宋体"/>
          <w:sz w:val="24"/>
          <w:lang w:val="en-US" w:eastAsia="zh-CN"/>
        </w:rPr>
        <w:t>8</w:t>
      </w:r>
      <w:r>
        <w:rPr>
          <w:rFonts w:hint="eastAsia" w:ascii="宋体" w:hAnsi="宋体" w:cs="宋体"/>
          <w:sz w:val="24"/>
        </w:rPr>
        <w:t>.</w:t>
      </w:r>
      <w:r>
        <w:rPr>
          <w:rFonts w:hint="eastAsia" w:ascii="宋体" w:hAnsi="宋体" w:eastAsia="宋体" w:cs="宋体"/>
          <w:kern w:val="2"/>
          <w:sz w:val="24"/>
          <w:szCs w:val="24"/>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响应文件一式二份，不论供应商成交与否，响应文件均不退回。</w:t>
      </w:r>
      <w:r>
        <w:rPr>
          <w:rFonts w:hint="eastAsia" w:ascii="宋体" w:hAnsi="宋体" w:cs="宋体"/>
          <w:b/>
          <w:color w:val="000000"/>
          <w:sz w:val="24"/>
        </w:rPr>
        <w:t>以上所有材料均须加盖公章。</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1.对采购文件需要进行澄清或有异议的供应商，均应在</w:t>
      </w:r>
      <w:r>
        <w:rPr>
          <w:rFonts w:ascii="宋体" w:hAnsi="宋体" w:cs="宋体"/>
          <w:color w:val="000000" w:themeColor="text1"/>
          <w:sz w:val="24"/>
          <w:highlight w:val="none"/>
          <w14:textFill>
            <w14:solidFill>
              <w14:schemeClr w14:val="tx1"/>
            </w14:solidFill>
          </w14:textFill>
        </w:rPr>
        <w:t>2024</w:t>
      </w:r>
      <w:r>
        <w:rPr>
          <w:rFonts w:hint="eastAsia" w:ascii="宋体" w:hAnsi="宋体" w:cs="宋体"/>
          <w:color w:val="000000" w:themeColor="text1"/>
          <w:sz w:val="24"/>
          <w:highlight w:val="none"/>
          <w14:textFill>
            <w14:solidFill>
              <w14:schemeClr w14:val="tx1"/>
            </w14:solidFill>
          </w14:textFill>
        </w:rPr>
        <w:t>年10月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日17：00</w:t>
      </w:r>
      <w:r>
        <w:rPr>
          <w:rFonts w:hint="eastAsia" w:ascii="宋体" w:hAnsi="宋体" w:cs="宋体"/>
          <w:color w:val="000000" w:themeColor="text1"/>
          <w:sz w:val="24"/>
          <w14:textFill>
            <w14:solidFill>
              <w14:schemeClr w14:val="tx1"/>
            </w14:solidFill>
          </w14:textFill>
        </w:rPr>
        <w:t>前按采购文件中的通讯地址，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2.有关本次采购的事项若存在变动或修改，采购人将通过公告形式发布，因未能及时了解相关最新信息所引起的报价失误责任由供应商自负。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六、由该采购申请部门组成公开招标评审小组，对投标单位进行综合评审后，确定中标单位。</w:t>
      </w:r>
    </w:p>
    <w:p>
      <w:pPr>
        <w:tabs>
          <w:tab w:val="left" w:pos="900"/>
        </w:tabs>
        <w:spacing w:line="360" w:lineRule="auto"/>
        <w:ind w:firstLine="562" w:firstLineChars="200"/>
        <w:jc w:val="center"/>
        <w:rPr>
          <w:rFonts w:ascii="宋体" w:hAnsi="宋体" w:cs="宋体"/>
          <w:b/>
          <w:bCs/>
          <w:color w:val="000000"/>
          <w:sz w:val="28"/>
          <w:szCs w:val="28"/>
        </w:rPr>
      </w:pP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6"/>
      <w:bookmarkEnd w:id="7"/>
      <w:bookmarkEnd w:id="8"/>
    </w:p>
    <w:p>
      <w:pPr>
        <w:tabs>
          <w:tab w:val="left" w:pos="900"/>
        </w:tabs>
        <w:spacing w:line="360" w:lineRule="auto"/>
        <w:ind w:firstLine="482" w:firstLineChars="200"/>
        <w:rPr>
          <w:rFonts w:ascii="宋体" w:hAnsi="宋体" w:cs="宋体"/>
          <w:b/>
          <w:bCs/>
          <w:color w:val="000000"/>
          <w:sz w:val="24"/>
        </w:rPr>
      </w:pPr>
      <w:bookmarkStart w:id="23" w:name="_Toc288738809"/>
      <w:bookmarkStart w:id="24" w:name="_Toc288738415"/>
      <w:bookmarkStart w:id="25" w:name="_Toc288738341"/>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采购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3"/>
      <w:bookmarkEnd w:id="24"/>
      <w:bookmarkEnd w:id="25"/>
    </w:p>
    <w:p>
      <w:pPr>
        <w:tabs>
          <w:tab w:val="left" w:pos="900"/>
        </w:tabs>
        <w:spacing w:line="360" w:lineRule="auto"/>
        <w:ind w:firstLine="482" w:firstLineChars="200"/>
        <w:rPr>
          <w:rFonts w:ascii="宋体" w:hAnsi="宋体" w:cs="宋体"/>
          <w:b/>
          <w:bCs/>
          <w:color w:val="000000"/>
          <w:sz w:val="24"/>
        </w:rPr>
      </w:pPr>
      <w:bookmarkStart w:id="26" w:name="_Toc288738342"/>
      <w:bookmarkStart w:id="27" w:name="_Toc288738810"/>
      <w:bookmarkStart w:id="28" w:name="_Toc288738416"/>
      <w:r>
        <w:rPr>
          <w:rFonts w:hint="eastAsia" w:ascii="宋体" w:hAnsi="宋体" w:cs="宋体"/>
          <w:b/>
          <w:bCs/>
          <w:color w:val="000000"/>
          <w:sz w:val="24"/>
        </w:rPr>
        <w:t>二、采购报价方式</w:t>
      </w:r>
      <w:bookmarkEnd w:id="26"/>
      <w:bookmarkEnd w:id="27"/>
      <w:bookmarkEnd w:id="28"/>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19"/>
        <w:rPr>
          <w:rFonts w:ascii="宋体" w:hAnsi="宋体" w:cs="宋体"/>
          <w:sz w:val="24"/>
        </w:rPr>
      </w:pPr>
    </w:p>
    <w:p>
      <w:pPr>
        <w:pStyle w:val="19"/>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59"/>
        <w:rPr>
          <w:rFonts w:hAnsi="宋体"/>
        </w:rPr>
      </w:pPr>
    </w:p>
    <w:p>
      <w:pPr>
        <w:pStyle w:val="59"/>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采购内容</w:t>
      </w:r>
    </w:p>
    <w:p>
      <w:pPr>
        <w:spacing w:line="360" w:lineRule="auto"/>
        <w:rPr>
          <w:rFonts w:ascii="宋体" w:hAnsi="宋体"/>
          <w:b/>
          <w:highlight w:val="none"/>
        </w:rPr>
      </w:pPr>
      <w:r>
        <w:rPr>
          <w:rFonts w:hint="eastAsia" w:ascii="宋体" w:hAnsi="宋体"/>
          <w:b/>
          <w:highlight w:val="none"/>
        </w:rPr>
        <w:t>一、项目背景</w:t>
      </w:r>
    </w:p>
    <w:p>
      <w:pPr>
        <w:spacing w:line="360" w:lineRule="auto"/>
        <w:ind w:firstLine="420" w:firstLineChars="200"/>
        <w:rPr>
          <w:rFonts w:ascii="宋体" w:hAnsi="宋体"/>
          <w:highlight w:val="none"/>
        </w:rPr>
      </w:pPr>
      <w:r>
        <w:rPr>
          <w:rFonts w:hint="eastAsia" w:ascii="宋体" w:hAnsi="宋体"/>
          <w:highlight w:val="none"/>
        </w:rPr>
        <w:t>根据《信息安全等级保护管理办法》、《信息安全技术信息系统安全等级保护基本要求》GB/T 22239等法规和标准的要求，学校按照上级主管部门的通知要求并结合我校实际，为提升江苏理工学院 “高性能计算信息系统”的安全保护能力，需对该系统按照信息安全等级保护第二级的相应指标进行测评。</w:t>
      </w:r>
    </w:p>
    <w:p>
      <w:pPr>
        <w:spacing w:line="360" w:lineRule="auto"/>
        <w:ind w:firstLine="420" w:firstLineChars="200"/>
        <w:rPr>
          <w:rFonts w:ascii="宋体" w:hAnsi="宋体"/>
          <w:highlight w:val="none"/>
        </w:rPr>
      </w:pPr>
      <w:r>
        <w:rPr>
          <w:rFonts w:hint="eastAsia" w:ascii="宋体" w:hAnsi="宋体"/>
          <w:highlight w:val="none"/>
        </w:rPr>
        <w:t>通过风险评估、安全扫描和渗透测试等测评手段，准确反应江苏理工学院高性能计算信息</w:t>
      </w:r>
      <w:r>
        <w:rPr>
          <w:rFonts w:ascii="宋体" w:hAnsi="宋体"/>
          <w:highlight w:val="none"/>
        </w:rPr>
        <w:t>系统</w:t>
      </w:r>
      <w:r>
        <w:rPr>
          <w:rFonts w:hint="eastAsia" w:ascii="宋体" w:hAnsi="宋体"/>
          <w:highlight w:val="none"/>
        </w:rPr>
        <w:t>的安全防护能力现状，对发现的问题进行深入分析，提出安全整改建议，指导完成安全技术与管理的整改，最终出具信息系统等级保护测评报告、整改建议。</w:t>
      </w:r>
    </w:p>
    <w:p>
      <w:pPr>
        <w:spacing w:line="360" w:lineRule="auto"/>
        <w:rPr>
          <w:rFonts w:ascii="宋体" w:hAnsi="宋体"/>
          <w:b/>
          <w:highlight w:val="none"/>
        </w:rPr>
      </w:pPr>
      <w:r>
        <w:rPr>
          <w:rFonts w:hint="eastAsia" w:ascii="宋体" w:hAnsi="宋体"/>
          <w:b/>
          <w:highlight w:val="none"/>
        </w:rPr>
        <w:t>二、项目要求</w:t>
      </w:r>
    </w:p>
    <w:p>
      <w:pPr>
        <w:spacing w:line="360" w:lineRule="auto"/>
        <w:rPr>
          <w:rFonts w:ascii="宋体" w:hAnsi="宋体"/>
          <w:highlight w:val="none"/>
        </w:rPr>
      </w:pPr>
      <w:r>
        <w:rPr>
          <w:rFonts w:hint="eastAsia" w:ascii="宋体" w:hAnsi="宋体"/>
          <w:highlight w:val="none"/>
        </w:rPr>
        <w:t>1. 项目实施原则</w:t>
      </w:r>
    </w:p>
    <w:p>
      <w:pPr>
        <w:pStyle w:val="236"/>
        <w:numPr>
          <w:ilvl w:val="0"/>
          <w:numId w:val="2"/>
        </w:numPr>
        <w:spacing w:line="360" w:lineRule="auto"/>
        <w:ind w:firstLineChars="0"/>
        <w:rPr>
          <w:rFonts w:ascii="宋体" w:hAnsi="宋体"/>
          <w:highlight w:val="none"/>
        </w:rPr>
      </w:pPr>
      <w:r>
        <w:rPr>
          <w:rFonts w:hint="eastAsia" w:ascii="宋体" w:hAnsi="宋体"/>
          <w:highlight w:val="none"/>
        </w:rPr>
        <w:t>客观性和公正性原则</w:t>
      </w:r>
    </w:p>
    <w:p>
      <w:pPr>
        <w:spacing w:line="360" w:lineRule="auto"/>
        <w:ind w:firstLine="420" w:firstLineChars="200"/>
        <w:rPr>
          <w:rFonts w:ascii="宋体" w:hAnsi="宋体"/>
          <w:highlight w:val="none"/>
        </w:rPr>
      </w:pPr>
      <w:r>
        <w:rPr>
          <w:rFonts w:hint="eastAsia" w:ascii="宋体" w:hAnsi="宋体"/>
          <w:highlight w:val="none"/>
        </w:rPr>
        <w:t>测评人员在项目实施过程中应无偏见，在最小主观判断情形下，按照评估双方相互认可的评估方案，基于明确定义的测评方式和解释，实施评估活动。</w:t>
      </w:r>
    </w:p>
    <w:p>
      <w:pPr>
        <w:pStyle w:val="236"/>
        <w:numPr>
          <w:ilvl w:val="0"/>
          <w:numId w:val="2"/>
        </w:numPr>
        <w:spacing w:line="360" w:lineRule="auto"/>
        <w:ind w:firstLineChars="0"/>
        <w:rPr>
          <w:rFonts w:ascii="宋体" w:hAnsi="宋体"/>
          <w:highlight w:val="none"/>
        </w:rPr>
      </w:pPr>
      <w:r>
        <w:rPr>
          <w:rFonts w:hint="eastAsia" w:ascii="宋体" w:hAnsi="宋体"/>
          <w:highlight w:val="none"/>
        </w:rPr>
        <w:t>可重复性和可再现性原则</w:t>
      </w:r>
    </w:p>
    <w:p>
      <w:pPr>
        <w:spacing w:line="360" w:lineRule="auto"/>
        <w:ind w:firstLine="420" w:firstLineChars="200"/>
        <w:rPr>
          <w:rFonts w:ascii="宋体" w:hAnsi="宋体"/>
          <w:highlight w:val="none"/>
        </w:rPr>
      </w:pPr>
      <w:r>
        <w:rPr>
          <w:rFonts w:hint="eastAsia" w:ascii="宋体" w:hAnsi="宋体"/>
          <w:highlight w:val="none"/>
        </w:rPr>
        <w:t>依照同一要求，使用同一评估方式，对每个评估实施过程的重复执行应该得到同样的结果。可再现性和可重复性的区别在于，前者与不同评估者评估结果的一致性有关，后者与同一评估者评估结果的一致性有关。</w:t>
      </w:r>
    </w:p>
    <w:p>
      <w:pPr>
        <w:pStyle w:val="236"/>
        <w:numPr>
          <w:ilvl w:val="0"/>
          <w:numId w:val="2"/>
        </w:numPr>
        <w:spacing w:line="360" w:lineRule="auto"/>
        <w:ind w:firstLineChars="0"/>
        <w:rPr>
          <w:rFonts w:ascii="宋体" w:hAnsi="宋体"/>
          <w:highlight w:val="none"/>
        </w:rPr>
      </w:pPr>
      <w:r>
        <w:rPr>
          <w:rFonts w:hint="eastAsia" w:ascii="宋体" w:hAnsi="宋体"/>
          <w:highlight w:val="none"/>
        </w:rPr>
        <w:t>连续性原则</w:t>
      </w:r>
    </w:p>
    <w:p>
      <w:pPr>
        <w:spacing w:line="360" w:lineRule="auto"/>
        <w:ind w:firstLine="420" w:firstLineChars="200"/>
        <w:rPr>
          <w:rFonts w:ascii="宋体" w:hAnsi="宋体"/>
          <w:highlight w:val="none"/>
        </w:rPr>
      </w:pPr>
      <w:r>
        <w:rPr>
          <w:rFonts w:hint="eastAsia" w:ascii="宋体" w:hAnsi="宋体"/>
          <w:highlight w:val="none"/>
        </w:rPr>
        <w:t>确保在高速变化的信息安全环境中，在有效的服务期间内，保证江苏理工学院高性能计算信息系统等级测评结论的准确性和及时性，对于新增的信息系统和服务，或新建立的信息化项目，进行局部系统的重新评估。</w:t>
      </w:r>
    </w:p>
    <w:p>
      <w:pPr>
        <w:pStyle w:val="236"/>
        <w:numPr>
          <w:ilvl w:val="0"/>
          <w:numId w:val="2"/>
        </w:numPr>
        <w:spacing w:line="360" w:lineRule="auto"/>
        <w:ind w:firstLineChars="0"/>
        <w:rPr>
          <w:rFonts w:ascii="宋体" w:hAnsi="宋体"/>
          <w:highlight w:val="none"/>
        </w:rPr>
      </w:pPr>
      <w:r>
        <w:rPr>
          <w:rFonts w:hint="eastAsia" w:ascii="宋体" w:hAnsi="宋体"/>
          <w:highlight w:val="none"/>
        </w:rPr>
        <w:t>扩展性原则</w:t>
      </w:r>
    </w:p>
    <w:p>
      <w:pPr>
        <w:spacing w:line="360" w:lineRule="auto"/>
        <w:ind w:firstLine="420" w:firstLineChars="200"/>
        <w:rPr>
          <w:rFonts w:ascii="宋体" w:hAnsi="宋体"/>
          <w:highlight w:val="none"/>
        </w:rPr>
      </w:pPr>
      <w:r>
        <w:rPr>
          <w:rFonts w:hint="eastAsia" w:ascii="宋体" w:hAnsi="宋体"/>
          <w:highlight w:val="none"/>
        </w:rPr>
        <w:t>在评估过程结束后，信息安全等级保护测评过程要保持扩展性，从扩展的属性上进一步加强江苏理工学院高性能计算信息系统测评后安全管理有效性和可用性。</w:t>
      </w:r>
    </w:p>
    <w:p>
      <w:pPr>
        <w:pStyle w:val="236"/>
        <w:numPr>
          <w:ilvl w:val="0"/>
          <w:numId w:val="2"/>
        </w:numPr>
        <w:spacing w:line="360" w:lineRule="auto"/>
        <w:ind w:firstLineChars="0"/>
        <w:rPr>
          <w:rFonts w:ascii="宋体" w:hAnsi="宋体"/>
          <w:highlight w:val="none"/>
        </w:rPr>
      </w:pPr>
      <w:r>
        <w:rPr>
          <w:rFonts w:hint="eastAsia" w:ascii="宋体" w:hAnsi="宋体"/>
          <w:highlight w:val="none"/>
        </w:rPr>
        <w:t>保密原则</w:t>
      </w:r>
    </w:p>
    <w:p>
      <w:pPr>
        <w:spacing w:line="360" w:lineRule="auto"/>
        <w:ind w:firstLine="420" w:firstLineChars="200"/>
        <w:rPr>
          <w:rFonts w:ascii="宋体" w:hAnsi="宋体"/>
          <w:highlight w:val="none"/>
        </w:rPr>
      </w:pPr>
      <w:r>
        <w:rPr>
          <w:rFonts w:hint="eastAsia" w:ascii="宋体" w:hAnsi="宋体"/>
          <w:highlight w:val="none"/>
        </w:rPr>
        <w:t>在测评过程中，需严格遵循保密原则，双方签订保密协议，对服务过程中涉及到的任何用户信息未经允许不向其他任何第三方泄漏，以及不得利用这些信息损害江苏理工学院的任何利益。</w:t>
      </w:r>
    </w:p>
    <w:p>
      <w:pPr>
        <w:pStyle w:val="236"/>
        <w:numPr>
          <w:ilvl w:val="0"/>
          <w:numId w:val="2"/>
        </w:numPr>
        <w:spacing w:line="360" w:lineRule="auto"/>
        <w:ind w:firstLineChars="0"/>
        <w:rPr>
          <w:rFonts w:ascii="宋体" w:hAnsi="宋体"/>
          <w:highlight w:val="none"/>
        </w:rPr>
      </w:pPr>
      <w:r>
        <w:rPr>
          <w:rFonts w:hint="eastAsia" w:ascii="宋体" w:hAnsi="宋体"/>
          <w:highlight w:val="none"/>
        </w:rPr>
        <w:t>互动原则</w:t>
      </w:r>
    </w:p>
    <w:p>
      <w:pPr>
        <w:spacing w:line="360" w:lineRule="auto"/>
        <w:ind w:firstLine="420" w:firstLineChars="200"/>
        <w:rPr>
          <w:rFonts w:ascii="宋体" w:hAnsi="宋体"/>
          <w:highlight w:val="none"/>
        </w:rPr>
      </w:pPr>
      <w:r>
        <w:rPr>
          <w:rFonts w:hint="eastAsia" w:ascii="宋体" w:hAnsi="宋体"/>
          <w:highlight w:val="none"/>
        </w:rPr>
        <w:t>在整个测评过程中，强调江苏理工学院相关管理人员的互动参与，每个阶段都能够及时根据行内要求和实际情况对测评的内容、方式做出相关调整，进而更好的进行等级测评工作。</w:t>
      </w:r>
    </w:p>
    <w:p>
      <w:pPr>
        <w:pStyle w:val="236"/>
        <w:numPr>
          <w:ilvl w:val="0"/>
          <w:numId w:val="2"/>
        </w:numPr>
        <w:spacing w:line="360" w:lineRule="auto"/>
        <w:ind w:firstLineChars="0"/>
        <w:rPr>
          <w:rFonts w:ascii="宋体" w:hAnsi="宋体"/>
          <w:highlight w:val="none"/>
        </w:rPr>
      </w:pPr>
      <w:r>
        <w:rPr>
          <w:rFonts w:hint="eastAsia" w:ascii="宋体" w:hAnsi="宋体"/>
          <w:highlight w:val="none"/>
        </w:rPr>
        <w:t>最小影响原则</w:t>
      </w:r>
    </w:p>
    <w:p>
      <w:pPr>
        <w:spacing w:line="360" w:lineRule="auto"/>
        <w:ind w:firstLine="420" w:firstLineChars="200"/>
        <w:rPr>
          <w:rFonts w:ascii="宋体" w:hAnsi="宋体"/>
          <w:highlight w:val="none"/>
        </w:rPr>
      </w:pPr>
      <w:r>
        <w:rPr>
          <w:rFonts w:hint="eastAsia" w:ascii="宋体" w:hAnsi="宋体"/>
          <w:highlight w:val="none"/>
        </w:rPr>
        <w:t>测评工作应该尽可能小地影响系统和网络的正常运行，不能对业务的正常运行产生明显的影响（包括系统性能明显下降、网络阻塞、服务中断等），如无法避免，则应做出说明。</w:t>
      </w:r>
    </w:p>
    <w:p>
      <w:pPr>
        <w:pStyle w:val="236"/>
        <w:numPr>
          <w:ilvl w:val="0"/>
          <w:numId w:val="2"/>
        </w:numPr>
        <w:spacing w:line="360" w:lineRule="auto"/>
        <w:ind w:firstLineChars="0"/>
        <w:rPr>
          <w:rFonts w:ascii="宋体" w:hAnsi="宋体"/>
          <w:highlight w:val="none"/>
        </w:rPr>
      </w:pPr>
      <w:r>
        <w:rPr>
          <w:rFonts w:hint="eastAsia" w:ascii="宋体" w:hAnsi="宋体"/>
          <w:highlight w:val="none"/>
        </w:rPr>
        <w:t>(8)规范性原则</w:t>
      </w:r>
    </w:p>
    <w:p>
      <w:pPr>
        <w:spacing w:line="360" w:lineRule="auto"/>
        <w:ind w:firstLine="420" w:firstLineChars="200"/>
        <w:rPr>
          <w:rFonts w:ascii="宋体" w:hAnsi="宋体"/>
          <w:highlight w:val="none"/>
        </w:rPr>
      </w:pPr>
      <w:r>
        <w:rPr>
          <w:rFonts w:hint="eastAsia" w:ascii="宋体" w:hAnsi="宋体"/>
          <w:highlight w:val="none"/>
        </w:rPr>
        <w:t>信息安全等级保护测评服务的实施必须由专业的测评服务人员依照规范的操作流程进行，对操作过程和结果要有相应的记录，并提供完整的服务报告。</w:t>
      </w:r>
    </w:p>
    <w:p>
      <w:pPr>
        <w:pStyle w:val="236"/>
        <w:numPr>
          <w:ilvl w:val="0"/>
          <w:numId w:val="2"/>
        </w:numPr>
        <w:spacing w:line="360" w:lineRule="auto"/>
        <w:ind w:firstLineChars="0"/>
        <w:rPr>
          <w:rFonts w:ascii="宋体" w:hAnsi="宋体"/>
          <w:highlight w:val="none"/>
        </w:rPr>
      </w:pPr>
      <w:r>
        <w:rPr>
          <w:rFonts w:hint="eastAsia" w:ascii="宋体" w:hAnsi="宋体"/>
          <w:highlight w:val="none"/>
        </w:rPr>
        <w:t>质量保障原则</w:t>
      </w:r>
    </w:p>
    <w:p>
      <w:pPr>
        <w:spacing w:line="360" w:lineRule="auto"/>
        <w:ind w:firstLine="420" w:firstLineChars="200"/>
        <w:rPr>
          <w:rFonts w:ascii="宋体" w:hAnsi="宋体"/>
          <w:highlight w:val="none"/>
        </w:rPr>
      </w:pPr>
      <w:r>
        <w:rPr>
          <w:rFonts w:hint="eastAsia" w:ascii="宋体" w:hAnsi="宋体"/>
          <w:highlight w:val="none"/>
        </w:rPr>
        <w:t>在整个测评过程中，须特别重视项目质量管理。项目的实施将严格按照项目实施方案和流程进行，并由项目协调小组从中监督，控制项目的进度和质量。</w:t>
      </w:r>
    </w:p>
    <w:p>
      <w:pPr>
        <w:spacing w:line="360" w:lineRule="auto"/>
        <w:rPr>
          <w:rFonts w:ascii="宋体" w:hAnsi="宋体"/>
          <w:b/>
          <w:highlight w:val="none"/>
        </w:rPr>
      </w:pPr>
      <w:r>
        <w:rPr>
          <w:rFonts w:hint="eastAsia" w:ascii="宋体" w:hAnsi="宋体"/>
          <w:b/>
          <w:highlight w:val="none"/>
        </w:rPr>
        <w:t xml:space="preserve">2. 工作内容     </w:t>
      </w:r>
    </w:p>
    <w:p>
      <w:pPr>
        <w:pStyle w:val="236"/>
        <w:numPr>
          <w:ilvl w:val="0"/>
          <w:numId w:val="3"/>
        </w:numPr>
        <w:spacing w:line="360" w:lineRule="auto"/>
        <w:ind w:firstLineChars="0"/>
        <w:rPr>
          <w:rFonts w:ascii="宋体" w:hAnsi="宋体"/>
          <w:highlight w:val="none"/>
        </w:rPr>
      </w:pPr>
      <w:r>
        <w:rPr>
          <w:rFonts w:hint="eastAsia" w:ascii="宋体" w:hAnsi="宋体"/>
          <w:highlight w:val="none"/>
        </w:rPr>
        <w:t>系统调研：在江苏理工学院信息中心相关人员的协助下，对现有信息系统功能模块、数据流向、用户群体等进行调研；</w:t>
      </w:r>
    </w:p>
    <w:p>
      <w:pPr>
        <w:pStyle w:val="236"/>
        <w:numPr>
          <w:ilvl w:val="0"/>
          <w:numId w:val="3"/>
        </w:numPr>
        <w:spacing w:line="360" w:lineRule="auto"/>
        <w:ind w:firstLineChars="0"/>
        <w:rPr>
          <w:rFonts w:ascii="宋体" w:hAnsi="宋体"/>
          <w:highlight w:val="none"/>
        </w:rPr>
      </w:pPr>
      <w:r>
        <w:rPr>
          <w:rFonts w:hint="eastAsia" w:ascii="宋体" w:hAnsi="宋体"/>
          <w:highlight w:val="none"/>
        </w:rPr>
        <w:t>安全调研：通过问卷调查、日志收集、工具扫描、策略分析等手段，了解江苏理工学院当前信息安全现状；</w:t>
      </w:r>
    </w:p>
    <w:p>
      <w:pPr>
        <w:pStyle w:val="236"/>
        <w:numPr>
          <w:ilvl w:val="0"/>
          <w:numId w:val="3"/>
        </w:numPr>
        <w:spacing w:line="360" w:lineRule="auto"/>
        <w:ind w:firstLineChars="0"/>
        <w:rPr>
          <w:rFonts w:ascii="宋体" w:hAnsi="宋体"/>
          <w:highlight w:val="none"/>
        </w:rPr>
      </w:pPr>
      <w:r>
        <w:rPr>
          <w:rFonts w:hint="eastAsia" w:ascii="宋体" w:hAnsi="宋体"/>
          <w:highlight w:val="none"/>
        </w:rPr>
        <w:t>现场测评：根据已编制的相关等级保护测评指导书对信息系统中的相关资产进行测评项的检查、记录检查结果；</w:t>
      </w:r>
    </w:p>
    <w:p>
      <w:pPr>
        <w:pStyle w:val="236"/>
        <w:numPr>
          <w:ilvl w:val="0"/>
          <w:numId w:val="3"/>
        </w:numPr>
        <w:spacing w:line="360" w:lineRule="auto"/>
        <w:ind w:firstLineChars="0"/>
        <w:rPr>
          <w:rFonts w:ascii="宋体" w:hAnsi="宋体"/>
          <w:highlight w:val="none"/>
        </w:rPr>
      </w:pPr>
      <w:r>
        <w:rPr>
          <w:rFonts w:hint="eastAsia" w:ascii="宋体" w:hAnsi="宋体"/>
          <w:highlight w:val="none"/>
        </w:rPr>
        <w:t>协助江苏理工学院信息中心进行信息安全等级保护安全技术整改。根据《信息安全等级保护管理办法》和《信息系统安全等级保护基本要求》，结合等级保护测评报告提出的安全防护现状与等级保护基本要求之间的差距，综合重要信息系统的特点，明确安全需求，设计符合相应等级要求的信息系统安全技术建设整改方案，协助开展信息安全等级保护安全技术措施建设，落实相应的物理安全、网络安全、主机安全、应用安全和数据安全等安全保护技术措施；</w:t>
      </w:r>
    </w:p>
    <w:p>
      <w:pPr>
        <w:pStyle w:val="236"/>
        <w:numPr>
          <w:ilvl w:val="0"/>
          <w:numId w:val="3"/>
        </w:numPr>
        <w:spacing w:line="360" w:lineRule="auto"/>
        <w:ind w:firstLineChars="0"/>
        <w:rPr>
          <w:rFonts w:ascii="宋体" w:hAnsi="宋体"/>
          <w:highlight w:val="none"/>
        </w:rPr>
      </w:pPr>
      <w:r>
        <w:rPr>
          <w:rFonts w:hint="eastAsia" w:ascii="宋体" w:hAnsi="宋体"/>
          <w:highlight w:val="none"/>
        </w:rPr>
        <w:t>指导江苏理工学院信息中心建立信息安全等级保护管理体系。根据《信息安全等级保护管理办法》和《信息系统安全等级保护基本要求》，参照《信息系统安全管理要求》、《信息系统安全工程管理要求》等标准规范要求，结合等级保护测评报告提出的安全管理体系与等级保护基本要求之间的差距，在信息安全管理制度、安全管理机构、人员安全管理、系统建设管理、系统运维管理等方面指导并协助建立符合相应等级要求的安全管理制度；</w:t>
      </w:r>
    </w:p>
    <w:p>
      <w:pPr>
        <w:pStyle w:val="236"/>
        <w:numPr>
          <w:ilvl w:val="0"/>
          <w:numId w:val="3"/>
        </w:numPr>
        <w:spacing w:line="360" w:lineRule="auto"/>
        <w:ind w:firstLineChars="0"/>
        <w:rPr>
          <w:rFonts w:ascii="宋体" w:hAnsi="宋体"/>
          <w:highlight w:val="none"/>
        </w:rPr>
      </w:pPr>
      <w:r>
        <w:rPr>
          <w:rFonts w:hint="eastAsia" w:ascii="宋体" w:hAnsi="宋体"/>
          <w:highlight w:val="none"/>
        </w:rPr>
        <w:t>结论报告：根据前述工作内容，分析当前信息系统安全保护能力是否符合相应等级的安全要求，编制江苏理工学院高性能计算信息系统信息系统的“等级保护测评报告”，并给出测评结论与合理的安全改进建议；</w:t>
      </w:r>
    </w:p>
    <w:p>
      <w:pPr>
        <w:pStyle w:val="236"/>
        <w:numPr>
          <w:ilvl w:val="0"/>
          <w:numId w:val="3"/>
        </w:numPr>
        <w:spacing w:line="360" w:lineRule="auto"/>
        <w:ind w:firstLineChars="0"/>
        <w:rPr>
          <w:rFonts w:ascii="宋体" w:hAnsi="宋体"/>
          <w:highlight w:val="none"/>
        </w:rPr>
      </w:pPr>
      <w:r>
        <w:rPr>
          <w:rFonts w:hint="eastAsia" w:ascii="宋体" w:hAnsi="宋体"/>
          <w:highlight w:val="none"/>
        </w:rPr>
        <w:t>测评成果：出具江苏理工学院高性能计算信息系统信息安全等级保护测评报告书和整改建议书；</w:t>
      </w:r>
    </w:p>
    <w:p>
      <w:pPr>
        <w:pStyle w:val="236"/>
        <w:numPr>
          <w:ilvl w:val="0"/>
          <w:numId w:val="3"/>
        </w:numPr>
        <w:spacing w:line="360" w:lineRule="auto"/>
        <w:ind w:firstLineChars="0"/>
        <w:rPr>
          <w:rFonts w:ascii="宋体" w:hAnsi="宋体"/>
        </w:rPr>
      </w:pPr>
      <w:r>
        <w:rPr>
          <w:rFonts w:hint="eastAsia" w:ascii="宋体" w:hAnsi="宋体"/>
          <w:highlight w:val="none"/>
        </w:rPr>
        <w:t>培训及后期技术服务工作：根据工作需要提供相关培训及测评后的技术支持工作。</w:t>
      </w:r>
    </w:p>
    <w:p>
      <w:pPr>
        <w:spacing w:line="440" w:lineRule="exact"/>
        <w:ind w:firstLine="482" w:firstLineChars="200"/>
        <w:rPr>
          <w:rFonts w:ascii="等线" w:hAnsi="等线" w:cs="等线"/>
          <w:b/>
          <w:bCs/>
          <w:sz w:val="24"/>
        </w:rPr>
      </w:pPr>
      <w:r>
        <w:rPr>
          <w:rFonts w:hint="eastAsia" w:ascii="等线" w:hAnsi="等线" w:cs="等线"/>
          <w:b/>
          <w:bCs/>
          <w:sz w:val="24"/>
        </w:rPr>
        <w:t>二、服务要求：</w:t>
      </w:r>
    </w:p>
    <w:p>
      <w:pPr>
        <w:spacing w:line="360" w:lineRule="auto"/>
        <w:ind w:firstLine="480" w:firstLineChars="200"/>
        <w:rPr>
          <w:sz w:val="24"/>
          <w:highlight w:val="none"/>
        </w:rPr>
      </w:pPr>
      <w:r>
        <w:rPr>
          <w:rFonts w:hint="eastAsia"/>
          <w:sz w:val="24"/>
          <w:highlight w:val="none"/>
        </w:rPr>
        <w:t>严格</w:t>
      </w:r>
      <w:r>
        <w:rPr>
          <w:sz w:val="24"/>
          <w:highlight w:val="none"/>
        </w:rPr>
        <w:t>按照</w:t>
      </w:r>
      <w:r>
        <w:rPr>
          <w:rFonts w:hint="eastAsia"/>
          <w:sz w:val="24"/>
          <w:highlight w:val="none"/>
        </w:rPr>
        <w:t>信息</w:t>
      </w:r>
      <w:r>
        <w:rPr>
          <w:sz w:val="24"/>
          <w:highlight w:val="none"/>
        </w:rPr>
        <w:t>系统等级保护测评要求完成</w:t>
      </w:r>
      <w:r>
        <w:rPr>
          <w:rFonts w:hint="eastAsia"/>
          <w:sz w:val="24"/>
          <w:highlight w:val="none"/>
        </w:rPr>
        <w:t>江苏</w:t>
      </w:r>
      <w:r>
        <w:rPr>
          <w:sz w:val="24"/>
          <w:highlight w:val="none"/>
        </w:rPr>
        <w:t>理工学院高性能计算信息系统</w:t>
      </w:r>
      <w:r>
        <w:rPr>
          <w:rFonts w:hint="eastAsia"/>
          <w:sz w:val="24"/>
          <w:highlight w:val="none"/>
        </w:rPr>
        <w:t>二</w:t>
      </w:r>
      <w:r>
        <w:rPr>
          <w:sz w:val="24"/>
          <w:highlight w:val="none"/>
        </w:rPr>
        <w:t>级等级保护测评。</w:t>
      </w:r>
    </w:p>
    <w:p>
      <w:pPr>
        <w:spacing w:line="500" w:lineRule="exact"/>
        <w:ind w:firstLine="482" w:firstLineChars="200"/>
        <w:jc w:val="left"/>
        <w:rPr>
          <w:rFonts w:ascii="宋体" w:hAnsi="宋体" w:cs="宋体"/>
          <w:b/>
          <w:bCs/>
          <w:sz w:val="24"/>
        </w:rPr>
      </w:pPr>
      <w:bookmarkStart w:id="29" w:name="_Hlk161408304"/>
      <w:r>
        <w:rPr>
          <w:rFonts w:hint="eastAsia" w:ascii="宋体" w:hAnsi="宋体" w:cs="宋体"/>
          <w:b/>
          <w:bCs/>
          <w:sz w:val="24"/>
        </w:rPr>
        <w:t>三、供货时间、验收等相关要求</w:t>
      </w:r>
      <w:bookmarkEnd w:id="29"/>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合同签定后</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个工作</w:t>
      </w:r>
      <w:r>
        <w:rPr>
          <w:rFonts w:asciiTheme="minorEastAsia" w:hAnsiTheme="minorEastAsia" w:eastAsiaTheme="minorEastAsia"/>
          <w:sz w:val="24"/>
          <w:highlight w:val="none"/>
        </w:rPr>
        <w:t>日</w:t>
      </w:r>
      <w:r>
        <w:rPr>
          <w:rFonts w:hint="eastAsia" w:asciiTheme="minorEastAsia" w:hAnsiTheme="minorEastAsia" w:eastAsiaTheme="minorEastAsia"/>
          <w:sz w:val="24"/>
          <w:highlight w:val="none"/>
        </w:rPr>
        <w:t>内</w:t>
      </w:r>
      <w:r>
        <w:rPr>
          <w:rFonts w:asciiTheme="minorEastAsia" w:hAnsiTheme="minorEastAsia" w:eastAsiaTheme="minorEastAsia"/>
          <w:sz w:val="24"/>
          <w:highlight w:val="none"/>
        </w:rPr>
        <w:t>完成江苏理工学院高性能计算信息系统信息安全等级保护测评</w:t>
      </w:r>
      <w:r>
        <w:rPr>
          <w:rFonts w:hint="eastAsia" w:asciiTheme="minorEastAsia" w:hAnsiTheme="minorEastAsia" w:eastAsiaTheme="minorEastAsia"/>
          <w:sz w:val="24"/>
          <w:highlight w:val="none"/>
        </w:rPr>
        <w:t>；同时出</w:t>
      </w:r>
      <w:r>
        <w:rPr>
          <w:rFonts w:asciiTheme="minorEastAsia" w:hAnsiTheme="minorEastAsia" w:eastAsiaTheme="minorEastAsia"/>
          <w:sz w:val="24"/>
          <w:highlight w:val="none"/>
        </w:rPr>
        <w:t>据相关测评报告和整改建议书，完成相关整改指导</w:t>
      </w:r>
      <w:r>
        <w:rPr>
          <w:rFonts w:hint="eastAsia" w:asciiTheme="minorEastAsia" w:hAnsiTheme="minorEastAsia" w:eastAsiaTheme="minorEastAsia"/>
          <w:sz w:val="24"/>
          <w:highlight w:val="none"/>
        </w:rPr>
        <w:t>。</w:t>
      </w:r>
    </w:p>
    <w:p>
      <w:pPr>
        <w:spacing w:line="440" w:lineRule="exact"/>
        <w:ind w:firstLine="482" w:firstLineChars="200"/>
        <w:jc w:val="left"/>
        <w:rPr>
          <w:rFonts w:ascii="宋体" w:hAnsi="宋体" w:cs="宋体"/>
          <w:b/>
          <w:bCs/>
          <w:sz w:val="24"/>
        </w:rPr>
      </w:pPr>
      <w:r>
        <w:rPr>
          <w:rFonts w:hint="eastAsia" w:ascii="宋体" w:hAnsi="宋体" w:cs="宋体"/>
          <w:b/>
          <w:bCs/>
          <w:sz w:val="24"/>
        </w:rPr>
        <w:t>四、付款方式：</w:t>
      </w:r>
    </w:p>
    <w:p>
      <w:pPr>
        <w:spacing w:line="360" w:lineRule="auto"/>
        <w:ind w:firstLine="480" w:firstLineChars="200"/>
        <w:rPr>
          <w:sz w:val="24"/>
          <w:highlight w:val="none"/>
        </w:rPr>
      </w:pPr>
      <w:r>
        <w:rPr>
          <w:rFonts w:hint="eastAsia"/>
          <w:sz w:val="24"/>
          <w:highlight w:val="none"/>
        </w:rPr>
        <w:t>服务内容全部完成，并出据</w:t>
      </w:r>
      <w:r>
        <w:rPr>
          <w:sz w:val="24"/>
          <w:highlight w:val="none"/>
        </w:rPr>
        <w:t>测</w:t>
      </w:r>
      <w:r>
        <w:rPr>
          <w:rFonts w:hint="eastAsia"/>
          <w:sz w:val="24"/>
          <w:highlight w:val="none"/>
        </w:rPr>
        <w:t>评</w:t>
      </w:r>
      <w:r>
        <w:rPr>
          <w:sz w:val="24"/>
          <w:highlight w:val="none"/>
        </w:rPr>
        <w:t>报</w:t>
      </w:r>
      <w:r>
        <w:rPr>
          <w:rFonts w:hint="eastAsia"/>
          <w:sz w:val="24"/>
          <w:highlight w:val="none"/>
        </w:rPr>
        <w:t>告后，成交供应商开具相当于采购人付款金额的，符合国家财税规定并满足采购人财务要求的税务发票，否则采购人有权延迟付款并不承担任何责任。采购人在收到税票后30日内付清合同款项的100%。</w:t>
      </w:r>
    </w:p>
    <w:p>
      <w:pPr>
        <w:spacing w:line="440" w:lineRule="exact"/>
        <w:ind w:firstLine="482" w:firstLineChars="200"/>
        <w:jc w:val="left"/>
        <w:rPr>
          <w:rFonts w:ascii="宋体" w:hAnsi="宋体" w:cs="宋体"/>
          <w:b/>
          <w:bCs/>
          <w:sz w:val="24"/>
        </w:rPr>
      </w:pPr>
      <w:r>
        <w:rPr>
          <w:rFonts w:hint="eastAsia" w:ascii="宋体" w:hAnsi="宋体" w:cs="宋体"/>
          <w:b/>
          <w:bCs/>
          <w:sz w:val="24"/>
        </w:rPr>
        <w:t>五、项目预算价：</w:t>
      </w:r>
    </w:p>
    <w:p>
      <w:pPr>
        <w:spacing w:line="440" w:lineRule="exact"/>
        <w:ind w:firstLine="480" w:firstLineChars="200"/>
        <w:jc w:val="left"/>
        <w:rPr>
          <w:rFonts w:ascii="宋体" w:hAnsi="宋体" w:cs="宋体"/>
          <w:color w:val="0000FF"/>
          <w:sz w:val="24"/>
        </w:rPr>
      </w:pPr>
      <w:r>
        <w:rPr>
          <w:rFonts w:hint="eastAsia" w:ascii="宋体" w:hAnsi="宋体" w:cs="宋体"/>
          <w:bCs/>
          <w:sz w:val="24"/>
        </w:rPr>
        <w:t>本项目预算金额：</w:t>
      </w:r>
      <w:r>
        <w:rPr>
          <w:rFonts w:hint="eastAsia" w:ascii="宋体" w:hAnsi="宋体" w:cs="宋体"/>
          <w:bCs/>
          <w:color w:val="000000" w:themeColor="text1"/>
          <w:sz w:val="24"/>
          <w14:textFill>
            <w14:solidFill>
              <w14:schemeClr w14:val="tx1"/>
            </w14:solidFill>
          </w14:textFill>
        </w:rPr>
        <w:t>人民币</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sz w:val="24"/>
        </w:rPr>
        <w:t>报价超过采购预算，将作为无效响应。</w:t>
      </w:r>
    </w:p>
    <w:p>
      <w:pPr>
        <w:spacing w:line="440" w:lineRule="exact"/>
        <w:ind w:firstLine="482" w:firstLineChars="200"/>
        <w:jc w:val="left"/>
        <w:rPr>
          <w:rFonts w:ascii="宋体" w:hAnsi="宋体" w:cs="宋体"/>
          <w:b/>
          <w:bCs/>
          <w:sz w:val="24"/>
        </w:rPr>
      </w:pPr>
      <w:r>
        <w:rPr>
          <w:rFonts w:hint="eastAsia" w:ascii="宋体" w:hAnsi="宋体" w:cs="宋体"/>
          <w:b/>
          <w:bCs/>
          <w:sz w:val="24"/>
        </w:rPr>
        <w:t>六、评标：</w:t>
      </w:r>
    </w:p>
    <w:p>
      <w:pPr>
        <w:spacing w:line="440" w:lineRule="exact"/>
        <w:ind w:firstLine="480" w:firstLineChars="200"/>
        <w:jc w:val="left"/>
        <w:rPr>
          <w:rFonts w:hint="default" w:eastAsia="宋体"/>
          <w:lang w:val="en-US" w:eastAsia="zh-CN"/>
        </w:rPr>
      </w:pPr>
      <w:r>
        <w:rPr>
          <w:rFonts w:hint="eastAsia" w:ascii="宋体" w:hAnsi="宋体" w:cs="宋体"/>
          <w:sz w:val="24"/>
        </w:rPr>
        <w:t>采用综合评分法进行评审，评分最高的单位中标。</w:t>
      </w: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9"/>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9"/>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号的采购活动。代理人在整个询价过程中所签署的一切文件和处理与这有关的一切事务，我单位均予以承认。代理人无转委托权。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59"/>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19"/>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数量或面积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19"/>
        <w:rPr>
          <w:rFonts w:ascii="宋体" w:hAnsi="宋体" w:cs="宋体"/>
          <w:bCs/>
          <w:sz w:val="24"/>
        </w:rPr>
      </w:pPr>
    </w:p>
    <w:p>
      <w:pPr>
        <w:pStyle w:val="19"/>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ascii="宋体" w:hAnsi="宋体" w:cs="宋体"/>
          <w:b/>
          <w:color w:val="000000"/>
          <w:sz w:val="28"/>
        </w:rPr>
      </w:pPr>
    </w:p>
    <w:p>
      <w:pPr>
        <w:spacing w:line="360" w:lineRule="exact"/>
        <w:jc w:val="left"/>
        <w:rPr>
          <w:rFonts w:ascii="宋体" w:hAnsi="宋体" w:cs="宋体"/>
          <w:b/>
          <w:color w:val="000000"/>
          <w:sz w:val="28"/>
        </w:rPr>
      </w:pPr>
    </w:p>
    <w:p>
      <w:pPr>
        <w:spacing w:line="360" w:lineRule="exact"/>
        <w:jc w:val="left"/>
        <w:rPr>
          <w:rFonts w:ascii="宋体" w:hAnsi="宋体" w:cs="宋体"/>
          <w:b/>
          <w:color w:val="000000"/>
          <w:sz w:val="28"/>
        </w:rPr>
      </w:pPr>
      <w:r>
        <w:rPr>
          <w:rFonts w:hint="eastAsia" w:ascii="宋体" w:hAnsi="宋体" w:cs="宋体"/>
          <w:b/>
          <w:color w:val="000000"/>
          <w:sz w:val="28"/>
        </w:rPr>
        <w:t>附件四：</w:t>
      </w:r>
    </w:p>
    <w:p>
      <w:pPr>
        <w:keepNext/>
        <w:keepLines/>
        <w:tabs>
          <w:tab w:val="left" w:pos="576"/>
        </w:tabs>
        <w:adjustRightInd w:val="0"/>
        <w:spacing w:line="360" w:lineRule="auto"/>
        <w:textAlignment w:val="baseline"/>
        <w:outlineLvl w:val="1"/>
        <w:rPr>
          <w:rFonts w:ascii="仿宋" w:hAnsi="仿宋" w:eastAsia="仿宋"/>
          <w:b/>
          <w:bCs/>
          <w:sz w:val="32"/>
          <w:szCs w:val="32"/>
          <w:highlight w:val="none"/>
        </w:rPr>
      </w:pPr>
      <w:r>
        <w:rPr>
          <w:rFonts w:hint="eastAsia" w:ascii="仿宋" w:hAnsi="仿宋" w:eastAsia="仿宋"/>
          <w:b/>
          <w:bCs/>
          <w:sz w:val="32"/>
          <w:szCs w:val="32"/>
          <w:highlight w:val="none"/>
        </w:rPr>
        <w:t>一、评标方法与定标原则</w:t>
      </w:r>
    </w:p>
    <w:p>
      <w:pPr>
        <w:spacing w:line="50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本项目评</w:t>
      </w:r>
      <w:r>
        <w:rPr>
          <w:rFonts w:hint="eastAsia" w:ascii="仿宋" w:hAnsi="仿宋" w:eastAsia="仿宋"/>
          <w:bCs/>
          <w:color w:val="000000" w:themeColor="text1"/>
          <w:sz w:val="24"/>
          <w:highlight w:val="none"/>
          <w14:textFill>
            <w14:solidFill>
              <w14:schemeClr w14:val="tx1"/>
            </w14:solidFill>
          </w14:textFill>
        </w:rPr>
        <w:t>审</w:t>
      </w:r>
      <w:r>
        <w:rPr>
          <w:rFonts w:ascii="仿宋" w:hAnsi="仿宋" w:eastAsia="仿宋"/>
          <w:bCs/>
          <w:color w:val="000000" w:themeColor="text1"/>
          <w:sz w:val="24"/>
          <w:highlight w:val="none"/>
          <w14:textFill>
            <w14:solidFill>
              <w14:schemeClr w14:val="tx1"/>
            </w14:solidFill>
          </w14:textFill>
        </w:rPr>
        <w:t>采用综合评分法，</w:t>
      </w:r>
      <w:r>
        <w:rPr>
          <w:rFonts w:hint="eastAsia" w:ascii="仿宋" w:hAnsi="仿宋" w:eastAsia="仿宋"/>
          <w:bCs/>
          <w:color w:val="000000" w:themeColor="text1"/>
          <w:sz w:val="24"/>
          <w:highlight w:val="none"/>
          <w:lang w:val="en-US" w:eastAsia="zh-CN"/>
          <w14:textFill>
            <w14:solidFill>
              <w14:schemeClr w14:val="tx1"/>
            </w14:solidFill>
          </w14:textFill>
        </w:rPr>
        <w:t>评标小组</w:t>
      </w:r>
      <w:r>
        <w:rPr>
          <w:rFonts w:ascii="仿宋" w:hAnsi="仿宋" w:eastAsia="仿宋"/>
          <w:bCs/>
          <w:color w:val="000000" w:themeColor="text1"/>
          <w:sz w:val="24"/>
          <w:highlight w:val="none"/>
          <w14:textFill>
            <w14:solidFill>
              <w14:schemeClr w14:val="tx1"/>
            </w14:solidFill>
          </w14:textFill>
        </w:rPr>
        <w:t>在响应文件最大限度地满足</w:t>
      </w:r>
      <w:r>
        <w:rPr>
          <w:rFonts w:hint="eastAsia" w:ascii="仿宋" w:hAnsi="仿宋" w:eastAsia="仿宋"/>
          <w:bCs/>
          <w:color w:val="000000" w:themeColor="text1"/>
          <w:sz w:val="24"/>
          <w:highlight w:val="none"/>
          <w:lang w:val="en-US" w:eastAsia="zh-CN"/>
          <w14:textFill>
            <w14:solidFill>
              <w14:schemeClr w14:val="tx1"/>
            </w14:solidFill>
          </w14:textFill>
        </w:rPr>
        <w:t>招标</w:t>
      </w:r>
      <w:r>
        <w:rPr>
          <w:rFonts w:ascii="仿宋" w:hAnsi="仿宋" w:eastAsia="仿宋"/>
          <w:bCs/>
          <w:color w:val="000000" w:themeColor="text1"/>
          <w:sz w:val="24"/>
          <w:highlight w:val="none"/>
          <w14:textFill>
            <w14:solidFill>
              <w14:schemeClr w14:val="tx1"/>
            </w14:solidFill>
          </w14:textFill>
        </w:rPr>
        <w:t>文件中实质性要求前提下，按照</w:t>
      </w:r>
      <w:r>
        <w:rPr>
          <w:rFonts w:hint="eastAsia" w:ascii="仿宋" w:hAnsi="仿宋" w:eastAsia="仿宋"/>
          <w:bCs/>
          <w:color w:val="000000" w:themeColor="text1"/>
          <w:sz w:val="24"/>
          <w:highlight w:val="none"/>
          <w:lang w:val="en-US" w:eastAsia="zh-CN"/>
          <w14:textFill>
            <w14:solidFill>
              <w14:schemeClr w14:val="tx1"/>
            </w14:solidFill>
          </w14:textFill>
        </w:rPr>
        <w:t>招标文件</w:t>
      </w:r>
      <w:r>
        <w:rPr>
          <w:rFonts w:ascii="仿宋" w:hAnsi="仿宋" w:eastAsia="仿宋"/>
          <w:bCs/>
          <w:color w:val="000000" w:themeColor="text1"/>
          <w:sz w:val="24"/>
          <w:highlight w:val="none"/>
          <w14:textFill>
            <w14:solidFill>
              <w14:schemeClr w14:val="tx1"/>
            </w14:solidFill>
          </w14:textFill>
        </w:rPr>
        <w:t>中规定的</w:t>
      </w:r>
      <w:r>
        <w:rPr>
          <w:rFonts w:hint="eastAsia" w:ascii="仿宋" w:hAnsi="仿宋" w:eastAsia="仿宋"/>
          <w:bCs/>
          <w:color w:val="000000" w:themeColor="text1"/>
          <w:sz w:val="24"/>
          <w:highlight w:val="none"/>
          <w:lang w:val="en-US" w:eastAsia="zh-CN"/>
          <w14:textFill>
            <w14:solidFill>
              <w14:schemeClr w14:val="tx1"/>
            </w14:solidFill>
          </w14:textFill>
        </w:rPr>
        <w:t>评标</w:t>
      </w:r>
      <w:r>
        <w:rPr>
          <w:rFonts w:hint="eastAsia" w:ascii="仿宋" w:hAnsi="仿宋" w:eastAsia="仿宋"/>
          <w:bCs/>
          <w:color w:val="000000" w:themeColor="text1"/>
          <w:sz w:val="24"/>
          <w:highlight w:val="none"/>
          <w14:textFill>
            <w14:solidFill>
              <w14:schemeClr w14:val="tx1"/>
            </w14:solidFill>
          </w14:textFill>
        </w:rPr>
        <w:t>小组</w:t>
      </w:r>
      <w:r>
        <w:rPr>
          <w:rFonts w:ascii="仿宋" w:hAnsi="仿宋" w:eastAsia="仿宋"/>
          <w:bCs/>
          <w:color w:val="000000" w:themeColor="text1"/>
          <w:sz w:val="24"/>
          <w:highlight w:val="none"/>
          <w14:textFill>
            <w14:solidFill>
              <w14:schemeClr w14:val="tx1"/>
            </w14:solidFill>
          </w14:textFill>
        </w:rPr>
        <w:t>评分部分各项因素，独立对每个有效供应商的响应文件进行评审</w:t>
      </w:r>
      <w:r>
        <w:rPr>
          <w:rFonts w:hint="eastAsia" w:ascii="仿宋" w:hAnsi="仿宋" w:eastAsia="仿宋"/>
          <w:bCs/>
          <w:color w:val="000000" w:themeColor="text1"/>
          <w:sz w:val="24"/>
          <w:highlight w:val="none"/>
          <w14:textFill>
            <w14:solidFill>
              <w14:schemeClr w14:val="tx1"/>
            </w14:solidFill>
          </w14:textFill>
        </w:rPr>
        <w:t>，</w:t>
      </w:r>
      <w:r>
        <w:rPr>
          <w:rFonts w:ascii="仿宋" w:hAnsi="仿宋" w:eastAsia="仿宋"/>
          <w:bCs/>
          <w:color w:val="000000" w:themeColor="text1"/>
          <w:sz w:val="24"/>
          <w:highlight w:val="none"/>
          <w14:textFill>
            <w14:solidFill>
              <w14:schemeClr w14:val="tx1"/>
            </w14:solidFill>
          </w14:textFill>
        </w:rPr>
        <w:t>各</w:t>
      </w:r>
      <w:r>
        <w:rPr>
          <w:rFonts w:hint="eastAsia" w:ascii="仿宋" w:hAnsi="仿宋" w:eastAsia="仿宋"/>
          <w:bCs/>
          <w:color w:val="000000" w:themeColor="text1"/>
          <w:sz w:val="24"/>
          <w:highlight w:val="none"/>
          <w14:textFill>
            <w14:solidFill>
              <w14:schemeClr w14:val="tx1"/>
            </w14:solidFill>
          </w14:textFill>
        </w:rPr>
        <w:t>供应商</w:t>
      </w:r>
      <w:r>
        <w:rPr>
          <w:rFonts w:ascii="仿宋" w:hAnsi="仿宋" w:eastAsia="仿宋"/>
          <w:bCs/>
          <w:color w:val="000000" w:themeColor="text1"/>
          <w:sz w:val="24"/>
          <w:highlight w:val="none"/>
          <w14:textFill>
            <w14:solidFill>
              <w14:schemeClr w14:val="tx1"/>
            </w14:solidFill>
          </w14:textFill>
        </w:rPr>
        <w:t>最终得分为</w:t>
      </w:r>
      <w:r>
        <w:rPr>
          <w:rFonts w:hint="eastAsia" w:ascii="仿宋" w:hAnsi="仿宋" w:eastAsia="仿宋"/>
          <w:bCs/>
          <w:color w:val="000000" w:themeColor="text1"/>
          <w:sz w:val="24"/>
          <w:highlight w:val="none"/>
          <w:lang w:val="en-US" w:eastAsia="zh-CN"/>
          <w14:textFill>
            <w14:solidFill>
              <w14:schemeClr w14:val="tx1"/>
            </w14:solidFill>
          </w14:textFill>
        </w:rPr>
        <w:t>评标</w:t>
      </w:r>
      <w:r>
        <w:rPr>
          <w:rFonts w:hint="eastAsia" w:ascii="仿宋" w:hAnsi="仿宋" w:eastAsia="仿宋"/>
          <w:bCs/>
          <w:color w:val="000000" w:themeColor="text1"/>
          <w:sz w:val="24"/>
          <w:highlight w:val="none"/>
          <w14:textFill>
            <w14:solidFill>
              <w14:schemeClr w14:val="tx1"/>
            </w14:solidFill>
          </w14:textFill>
        </w:rPr>
        <w:t>小组</w:t>
      </w:r>
      <w:r>
        <w:rPr>
          <w:rFonts w:ascii="仿宋" w:hAnsi="仿宋" w:eastAsia="仿宋"/>
          <w:bCs/>
          <w:color w:val="000000" w:themeColor="text1"/>
          <w:sz w:val="24"/>
          <w:highlight w:val="none"/>
          <w14:textFill>
            <w14:solidFill>
              <w14:schemeClr w14:val="tx1"/>
            </w14:solidFill>
          </w14:textFill>
        </w:rPr>
        <w:t>所评定分值的平均值</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lang w:val="en-US" w:eastAsia="zh-CN"/>
          <w14:textFill>
            <w14:solidFill>
              <w14:schemeClr w14:val="tx1"/>
            </w14:solidFill>
          </w14:textFill>
        </w:rPr>
        <w:t>评标</w:t>
      </w:r>
      <w:r>
        <w:rPr>
          <w:rFonts w:hint="eastAsia" w:ascii="仿宋" w:hAnsi="仿宋" w:eastAsia="仿宋"/>
          <w:bCs/>
          <w:color w:val="000000" w:themeColor="text1"/>
          <w:sz w:val="24"/>
          <w:highlight w:val="none"/>
          <w14:textFill>
            <w14:solidFill>
              <w14:schemeClr w14:val="tx1"/>
            </w14:solidFill>
          </w14:textFill>
        </w:rPr>
        <w:t>小组成员评分及平均值计算均</w:t>
      </w:r>
      <w:r>
        <w:rPr>
          <w:rFonts w:ascii="仿宋" w:hAnsi="仿宋" w:eastAsia="仿宋"/>
          <w:bCs/>
          <w:color w:val="000000" w:themeColor="text1"/>
          <w:sz w:val="24"/>
          <w:highlight w:val="none"/>
          <w14:textFill>
            <w14:solidFill>
              <w14:schemeClr w14:val="tx1"/>
            </w14:solidFill>
          </w14:textFill>
        </w:rPr>
        <w:t>保留</w:t>
      </w:r>
      <w:r>
        <w:rPr>
          <w:rFonts w:hint="eastAsia" w:ascii="仿宋" w:hAnsi="仿宋" w:eastAsia="仿宋"/>
          <w:bCs/>
          <w:color w:val="000000" w:themeColor="text1"/>
          <w:sz w:val="24"/>
          <w:highlight w:val="none"/>
          <w14:textFill>
            <w14:solidFill>
              <w14:schemeClr w14:val="tx1"/>
            </w14:solidFill>
          </w14:textFill>
        </w:rPr>
        <w:t>两位小数</w:t>
      </w:r>
      <w:r>
        <w:rPr>
          <w:rFonts w:ascii="仿宋" w:hAnsi="仿宋" w:eastAsia="仿宋"/>
          <w:bCs/>
          <w:color w:val="000000" w:themeColor="text1"/>
          <w:sz w:val="24"/>
          <w:highlight w:val="none"/>
          <w14:textFill>
            <w14:solidFill>
              <w14:schemeClr w14:val="tx1"/>
            </w14:solidFill>
          </w14:textFill>
        </w:rPr>
        <w:t>。</w:t>
      </w:r>
    </w:p>
    <w:p>
      <w:pPr>
        <w:spacing w:line="500" w:lineRule="exact"/>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lang w:val="en-US" w:eastAsia="zh-CN"/>
          <w14:textFill>
            <w14:solidFill>
              <w14:schemeClr w14:val="tx1"/>
            </w14:solidFill>
          </w14:textFill>
        </w:rPr>
        <w:t>评标</w:t>
      </w:r>
      <w:r>
        <w:rPr>
          <w:rFonts w:hint="eastAsia" w:ascii="仿宋" w:hAnsi="仿宋" w:eastAsia="仿宋"/>
          <w:bCs/>
          <w:color w:val="000000" w:themeColor="text1"/>
          <w:sz w:val="24"/>
          <w:highlight w:val="none"/>
          <w14:textFill>
            <w14:solidFill>
              <w14:schemeClr w14:val="tx1"/>
            </w14:solidFill>
          </w14:textFill>
        </w:rPr>
        <w:t>小组按评审后最终综合得分由高到低顺序排列名次。如得分相同的，按最终报价由低到高顺序推荐中标人。得分且最终报价相同的，按样品评分顺序排列</w:t>
      </w:r>
      <w:r>
        <w:rPr>
          <w:rFonts w:hint="eastAsia" w:ascii="仿宋" w:hAnsi="仿宋" w:eastAsia="仿宋" w:cs="仿宋"/>
          <w:bCs/>
          <w:color w:val="000000" w:themeColor="text1"/>
          <w:sz w:val="24"/>
          <w:highlight w:val="none"/>
          <w14:textFill>
            <w14:solidFill>
              <w14:schemeClr w14:val="tx1"/>
            </w14:solidFill>
          </w14:textFill>
        </w:rPr>
        <w:t>确定中标人。</w:t>
      </w:r>
    </w:p>
    <w:p>
      <w:pPr>
        <w:keepNext/>
        <w:keepLines/>
        <w:numPr>
          <w:ilvl w:val="0"/>
          <w:numId w:val="4"/>
        </w:numPr>
        <w:tabs>
          <w:tab w:val="left" w:pos="576"/>
        </w:tabs>
        <w:adjustRightInd w:val="0"/>
        <w:spacing w:line="360" w:lineRule="auto"/>
        <w:textAlignment w:val="baseline"/>
        <w:outlineLvl w:val="1"/>
        <w:rPr>
          <w:rFonts w:ascii="仿宋" w:hAnsi="仿宋" w:eastAsia="仿宋"/>
          <w:b/>
          <w:bCs/>
          <w:sz w:val="32"/>
          <w:szCs w:val="32"/>
          <w:highlight w:val="none"/>
        </w:rPr>
      </w:pPr>
      <w:r>
        <w:rPr>
          <w:rFonts w:hint="eastAsia" w:ascii="仿宋" w:hAnsi="仿宋" w:eastAsia="仿宋"/>
          <w:b/>
          <w:bCs/>
          <w:sz w:val="32"/>
          <w:szCs w:val="32"/>
          <w:highlight w:val="none"/>
        </w:rPr>
        <w:t>评标标准</w:t>
      </w:r>
    </w:p>
    <w:tbl>
      <w:tblPr>
        <w:tblStyle w:val="50"/>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78"/>
        <w:gridCol w:w="1148"/>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9" w:type="dxa"/>
            <w:vAlign w:val="center"/>
          </w:tcPr>
          <w:p>
            <w:pPr>
              <w:pStyle w:val="59"/>
              <w:jc w:val="center"/>
              <w:rPr>
                <w:rFonts w:ascii="仿宋" w:hAnsi="仿宋" w:eastAsia="仿宋"/>
                <w:b/>
                <w:sz w:val="18"/>
                <w:highlight w:val="none"/>
                <w:lang w:val="zh-CN"/>
              </w:rPr>
            </w:pPr>
            <w:r>
              <w:rPr>
                <w:rFonts w:ascii="仿宋" w:hAnsi="仿宋" w:eastAsia="仿宋"/>
                <w:b/>
                <w:sz w:val="18"/>
                <w:highlight w:val="none"/>
              </w:rPr>
              <w:t>序号</w:t>
            </w:r>
          </w:p>
        </w:tc>
        <w:tc>
          <w:tcPr>
            <w:tcW w:w="978" w:type="dxa"/>
            <w:vAlign w:val="center"/>
          </w:tcPr>
          <w:p>
            <w:pPr>
              <w:pStyle w:val="59"/>
              <w:jc w:val="center"/>
              <w:rPr>
                <w:rFonts w:ascii="仿宋" w:hAnsi="仿宋" w:eastAsia="仿宋"/>
                <w:b/>
                <w:sz w:val="18"/>
                <w:highlight w:val="none"/>
                <w:lang w:val="zh-CN"/>
              </w:rPr>
            </w:pPr>
            <w:r>
              <w:rPr>
                <w:rFonts w:ascii="仿宋" w:hAnsi="仿宋" w:eastAsia="仿宋"/>
                <w:b/>
                <w:sz w:val="18"/>
                <w:highlight w:val="none"/>
              </w:rPr>
              <w:t>评审内容</w:t>
            </w:r>
          </w:p>
        </w:tc>
        <w:tc>
          <w:tcPr>
            <w:tcW w:w="1148" w:type="dxa"/>
            <w:vAlign w:val="center"/>
          </w:tcPr>
          <w:p>
            <w:pPr>
              <w:pStyle w:val="59"/>
              <w:jc w:val="center"/>
              <w:rPr>
                <w:rFonts w:ascii="仿宋" w:hAnsi="仿宋" w:eastAsia="仿宋"/>
                <w:b/>
                <w:sz w:val="18"/>
                <w:highlight w:val="none"/>
                <w:lang w:val="zh-CN"/>
              </w:rPr>
            </w:pPr>
            <w:r>
              <w:rPr>
                <w:rFonts w:ascii="仿宋" w:hAnsi="仿宋" w:eastAsia="仿宋"/>
                <w:b/>
                <w:sz w:val="18"/>
                <w:highlight w:val="none"/>
              </w:rPr>
              <w:t>分值（分）</w:t>
            </w:r>
          </w:p>
        </w:tc>
        <w:tc>
          <w:tcPr>
            <w:tcW w:w="5240" w:type="dxa"/>
            <w:vAlign w:val="center"/>
          </w:tcPr>
          <w:p>
            <w:pPr>
              <w:pStyle w:val="59"/>
              <w:jc w:val="center"/>
              <w:rPr>
                <w:rFonts w:ascii="仿宋" w:hAnsi="仿宋" w:eastAsia="仿宋"/>
                <w:b/>
                <w:sz w:val="18"/>
                <w:highlight w:val="none"/>
                <w:lang w:val="zh-CN"/>
              </w:rPr>
            </w:pPr>
            <w:r>
              <w:rPr>
                <w:rFonts w:ascii="仿宋" w:hAnsi="仿宋" w:eastAsia="仿宋"/>
                <w:b/>
                <w:sz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075" w:type="dxa"/>
            <w:gridSpan w:val="4"/>
            <w:vAlign w:val="center"/>
          </w:tcPr>
          <w:p>
            <w:pPr>
              <w:pStyle w:val="59"/>
              <w:rPr>
                <w:rFonts w:ascii="仿宋" w:hAnsi="仿宋" w:eastAsia="仿宋"/>
                <w:b/>
                <w:sz w:val="18"/>
                <w:highlight w:val="none"/>
              </w:rPr>
            </w:pPr>
            <w:r>
              <w:rPr>
                <w:rFonts w:ascii="仿宋" w:hAnsi="仿宋" w:eastAsia="仿宋"/>
                <w:b/>
                <w:sz w:val="18"/>
                <w:highlight w:val="none"/>
              </w:rPr>
              <w:t>一</w:t>
            </w:r>
            <w:r>
              <w:rPr>
                <w:rFonts w:hint="eastAsia" w:ascii="仿宋" w:hAnsi="仿宋" w:eastAsia="仿宋"/>
                <w:b/>
                <w:sz w:val="18"/>
                <w:highlight w:val="none"/>
              </w:rPr>
              <w:t xml:space="preserve">  </w:t>
            </w:r>
            <w:r>
              <w:rPr>
                <w:rFonts w:ascii="仿宋" w:hAnsi="仿宋" w:eastAsia="仿宋"/>
                <w:b/>
                <w:sz w:val="18"/>
                <w:highlight w:val="none"/>
              </w:rPr>
              <w:t>报价（1</w:t>
            </w:r>
            <w:r>
              <w:rPr>
                <w:rFonts w:hint="eastAsia" w:ascii="仿宋" w:hAnsi="仿宋" w:eastAsia="仿宋"/>
                <w:b/>
                <w:sz w:val="18"/>
                <w:highlight w:val="none"/>
              </w:rPr>
              <w:t>5</w:t>
            </w:r>
            <w:r>
              <w:rPr>
                <w:rFonts w:ascii="仿宋" w:hAnsi="仿宋" w:eastAsia="仿宋"/>
                <w:b/>
                <w:sz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vAlign w:val="center"/>
          </w:tcPr>
          <w:p>
            <w:pPr>
              <w:pStyle w:val="59"/>
              <w:rPr>
                <w:rFonts w:ascii="仿宋" w:hAnsi="仿宋" w:eastAsia="仿宋"/>
                <w:sz w:val="20"/>
                <w:highlight w:val="none"/>
              </w:rPr>
            </w:pPr>
            <w:r>
              <w:rPr>
                <w:rFonts w:ascii="仿宋" w:hAnsi="仿宋" w:eastAsia="仿宋"/>
                <w:sz w:val="20"/>
                <w:highlight w:val="none"/>
              </w:rPr>
              <w:t>1</w:t>
            </w:r>
          </w:p>
        </w:tc>
        <w:tc>
          <w:tcPr>
            <w:tcW w:w="978" w:type="dxa"/>
            <w:vAlign w:val="center"/>
          </w:tcPr>
          <w:p>
            <w:pPr>
              <w:pStyle w:val="59"/>
              <w:rPr>
                <w:rFonts w:ascii="仿宋" w:hAnsi="仿宋" w:eastAsia="仿宋"/>
                <w:sz w:val="20"/>
                <w:highlight w:val="none"/>
                <w:lang w:val="zh-CN"/>
              </w:rPr>
            </w:pPr>
            <w:r>
              <w:rPr>
                <w:rFonts w:ascii="仿宋" w:hAnsi="仿宋" w:eastAsia="仿宋"/>
                <w:sz w:val="20"/>
                <w:highlight w:val="none"/>
              </w:rPr>
              <w:t>报价</w:t>
            </w:r>
          </w:p>
        </w:tc>
        <w:tc>
          <w:tcPr>
            <w:tcW w:w="1148" w:type="dxa"/>
            <w:vAlign w:val="center"/>
          </w:tcPr>
          <w:p>
            <w:pPr>
              <w:pStyle w:val="59"/>
              <w:jc w:val="center"/>
              <w:rPr>
                <w:rFonts w:ascii="仿宋" w:hAnsi="仿宋" w:eastAsia="仿宋"/>
                <w:sz w:val="20"/>
                <w:highlight w:val="none"/>
              </w:rPr>
            </w:pPr>
            <w:r>
              <w:rPr>
                <w:rFonts w:ascii="仿宋" w:hAnsi="仿宋" w:eastAsia="仿宋"/>
                <w:sz w:val="20"/>
                <w:highlight w:val="none"/>
              </w:rPr>
              <w:t>1</w:t>
            </w:r>
            <w:r>
              <w:rPr>
                <w:rFonts w:hint="eastAsia" w:ascii="仿宋" w:hAnsi="仿宋" w:eastAsia="仿宋"/>
                <w:sz w:val="20"/>
                <w:highlight w:val="none"/>
              </w:rPr>
              <w:t>5</w:t>
            </w:r>
          </w:p>
        </w:tc>
        <w:tc>
          <w:tcPr>
            <w:tcW w:w="5240" w:type="dxa"/>
            <w:vAlign w:val="center"/>
          </w:tcPr>
          <w:p>
            <w:pPr>
              <w:pStyle w:val="59"/>
              <w:rPr>
                <w:rFonts w:ascii="仿宋" w:hAnsi="仿宋" w:eastAsia="仿宋"/>
                <w:sz w:val="20"/>
                <w:highlight w:val="none"/>
              </w:rPr>
            </w:pPr>
            <w:r>
              <w:rPr>
                <w:rFonts w:ascii="仿宋" w:hAnsi="仿宋" w:eastAsia="仿宋"/>
                <w:sz w:val="20"/>
                <w:highlight w:val="none"/>
              </w:rPr>
              <w:t>通过初审的有效投标报价，最低价为基准价。投标报价得分=（评标基准价/投标报价）×100％×1</w:t>
            </w:r>
            <w:r>
              <w:rPr>
                <w:rFonts w:hint="eastAsia" w:ascii="仿宋" w:hAnsi="仿宋" w:eastAsia="仿宋"/>
                <w:sz w:val="20"/>
                <w:highlight w:val="none"/>
              </w:rPr>
              <w:t>5</w:t>
            </w:r>
            <w:r>
              <w:rPr>
                <w:rFonts w:ascii="仿宋" w:hAnsi="仿宋" w:eastAsia="仿宋"/>
                <w:sz w:val="20"/>
                <w:highlight w:val="none"/>
              </w:rPr>
              <w:t>（小数点后保留两位）。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75" w:type="dxa"/>
            <w:gridSpan w:val="4"/>
            <w:vAlign w:val="center"/>
          </w:tcPr>
          <w:p>
            <w:pPr>
              <w:pStyle w:val="59"/>
              <w:rPr>
                <w:rFonts w:ascii="仿宋" w:hAnsi="仿宋" w:eastAsia="仿宋"/>
                <w:b/>
                <w:sz w:val="20"/>
                <w:highlight w:val="none"/>
              </w:rPr>
            </w:pPr>
            <w:r>
              <w:rPr>
                <w:rFonts w:ascii="仿宋" w:hAnsi="仿宋" w:eastAsia="仿宋"/>
                <w:b/>
                <w:sz w:val="20"/>
                <w:highlight w:val="none"/>
              </w:rPr>
              <w:t>二</w:t>
            </w:r>
            <w:r>
              <w:rPr>
                <w:rFonts w:hint="eastAsia" w:ascii="仿宋" w:hAnsi="仿宋" w:eastAsia="仿宋"/>
                <w:b/>
                <w:sz w:val="20"/>
                <w:highlight w:val="none"/>
              </w:rPr>
              <w:t xml:space="preserve">  </w:t>
            </w:r>
            <w:r>
              <w:rPr>
                <w:rFonts w:ascii="仿宋" w:hAnsi="仿宋" w:eastAsia="仿宋"/>
                <w:b/>
                <w:sz w:val="20"/>
                <w:highlight w:val="none"/>
              </w:rPr>
              <w:t>商务评价（</w:t>
            </w:r>
            <w:r>
              <w:rPr>
                <w:rFonts w:hint="eastAsia" w:ascii="仿宋" w:hAnsi="仿宋" w:eastAsia="仿宋"/>
                <w:b/>
                <w:sz w:val="20"/>
                <w:highlight w:val="none"/>
              </w:rPr>
              <w:t>47</w:t>
            </w:r>
            <w:r>
              <w:rPr>
                <w:rFonts w:ascii="仿宋" w:hAnsi="仿宋" w:eastAsia="仿宋"/>
                <w:b/>
                <w:sz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vAlign w:val="center"/>
          </w:tcPr>
          <w:p>
            <w:pPr>
              <w:pStyle w:val="59"/>
              <w:rPr>
                <w:rFonts w:ascii="仿宋" w:hAnsi="仿宋" w:eastAsia="仿宋"/>
                <w:sz w:val="20"/>
                <w:highlight w:val="none"/>
              </w:rPr>
            </w:pPr>
            <w:r>
              <w:rPr>
                <w:rFonts w:ascii="仿宋" w:hAnsi="仿宋" w:eastAsia="仿宋"/>
                <w:sz w:val="20"/>
                <w:highlight w:val="none"/>
              </w:rPr>
              <w:t>1</w:t>
            </w:r>
          </w:p>
        </w:tc>
        <w:tc>
          <w:tcPr>
            <w:tcW w:w="978" w:type="dxa"/>
            <w:vAlign w:val="center"/>
          </w:tcPr>
          <w:p>
            <w:pPr>
              <w:pStyle w:val="59"/>
              <w:rPr>
                <w:rFonts w:ascii="仿宋" w:hAnsi="仿宋" w:eastAsia="仿宋"/>
                <w:sz w:val="20"/>
                <w:highlight w:val="none"/>
              </w:rPr>
            </w:pPr>
            <w:r>
              <w:rPr>
                <w:rFonts w:ascii="仿宋" w:hAnsi="仿宋" w:eastAsia="仿宋"/>
                <w:sz w:val="20"/>
                <w:highlight w:val="none"/>
              </w:rPr>
              <w:t>供应商资质</w:t>
            </w:r>
          </w:p>
        </w:tc>
        <w:tc>
          <w:tcPr>
            <w:tcW w:w="1148" w:type="dxa"/>
            <w:vAlign w:val="center"/>
          </w:tcPr>
          <w:p>
            <w:pPr>
              <w:pStyle w:val="59"/>
              <w:jc w:val="center"/>
              <w:rPr>
                <w:rFonts w:ascii="仿宋" w:hAnsi="仿宋" w:eastAsia="仿宋"/>
                <w:sz w:val="20"/>
                <w:highlight w:val="none"/>
              </w:rPr>
            </w:pPr>
            <w:r>
              <w:rPr>
                <w:rFonts w:hint="eastAsia" w:ascii="仿宋" w:hAnsi="仿宋" w:eastAsia="仿宋"/>
                <w:sz w:val="20"/>
                <w:highlight w:val="none"/>
              </w:rPr>
              <w:t>22</w:t>
            </w:r>
          </w:p>
        </w:tc>
        <w:tc>
          <w:tcPr>
            <w:tcW w:w="5240" w:type="dxa"/>
            <w:vAlign w:val="center"/>
          </w:tcPr>
          <w:p>
            <w:pPr>
              <w:pStyle w:val="59"/>
              <w:rPr>
                <w:rFonts w:ascii="仿宋" w:hAnsi="仿宋" w:eastAsia="仿宋"/>
                <w:color w:val="auto"/>
                <w:sz w:val="20"/>
                <w:highlight w:val="none"/>
              </w:rPr>
            </w:pPr>
            <w:r>
              <w:rPr>
                <w:rFonts w:ascii="仿宋" w:hAnsi="仿宋" w:eastAsia="仿宋"/>
                <w:color w:val="auto"/>
                <w:sz w:val="20"/>
                <w:highlight w:val="none"/>
              </w:rPr>
              <w:t>服务与资质认证：</w:t>
            </w:r>
          </w:p>
          <w:p>
            <w:pPr>
              <w:pStyle w:val="59"/>
              <w:rPr>
                <w:rFonts w:ascii="仿宋" w:hAnsi="仿宋" w:eastAsia="仿宋"/>
                <w:color w:val="auto"/>
                <w:sz w:val="20"/>
                <w:highlight w:val="none"/>
              </w:rPr>
            </w:pPr>
            <w:r>
              <w:rPr>
                <w:rFonts w:hint="eastAsia" w:ascii="仿宋" w:hAnsi="仿宋" w:eastAsia="仿宋"/>
                <w:color w:val="auto"/>
                <w:sz w:val="20"/>
                <w:highlight w:val="none"/>
              </w:rPr>
              <w:t>（1）供应商具有ISO/IEC27001信息安全管理体系认证证书，认证范围含：（信息安全咨询及网络安全等级测评）的得2分，没有不得分；</w:t>
            </w:r>
          </w:p>
          <w:p>
            <w:pPr>
              <w:pStyle w:val="59"/>
              <w:rPr>
                <w:rFonts w:ascii="仿宋" w:hAnsi="仿宋" w:eastAsia="仿宋"/>
                <w:color w:val="auto"/>
                <w:sz w:val="20"/>
                <w:highlight w:val="none"/>
              </w:rPr>
            </w:pPr>
            <w:r>
              <w:rPr>
                <w:rFonts w:hint="eastAsia" w:ascii="仿宋" w:hAnsi="仿宋" w:eastAsia="仿宋"/>
                <w:color w:val="auto"/>
                <w:sz w:val="20"/>
                <w:highlight w:val="none"/>
              </w:rPr>
              <w:t>（2）供应商具有ISO/IEC20000信息技术服务管理体系认证证书，认证范围含：（信息系统测试服务及信息技术咨询服务）的得2分，没有不得分；</w:t>
            </w:r>
          </w:p>
          <w:p>
            <w:pPr>
              <w:pStyle w:val="59"/>
              <w:rPr>
                <w:rFonts w:ascii="仿宋" w:hAnsi="仿宋" w:eastAsia="仿宋"/>
                <w:color w:val="auto"/>
                <w:sz w:val="20"/>
                <w:highlight w:val="none"/>
              </w:rPr>
            </w:pPr>
            <w:r>
              <w:rPr>
                <w:rFonts w:hint="eastAsia" w:ascii="仿宋" w:hAnsi="仿宋" w:eastAsia="仿宋"/>
                <w:color w:val="auto"/>
                <w:sz w:val="20"/>
                <w:highlight w:val="none"/>
              </w:rPr>
              <w:t>（3）供应商具有中国网络安全审查技术与认证中心的CCRC信息安全服务资质认证证书，认证范围含：（信息系统安全运维服务资质、风险评估资质、应急处理服务资质认证证书）的每满足一个得2分，共6分，没有不得分；</w:t>
            </w:r>
          </w:p>
          <w:p>
            <w:pPr>
              <w:pStyle w:val="59"/>
              <w:rPr>
                <w:rFonts w:ascii="仿宋" w:hAnsi="仿宋" w:eastAsia="仿宋"/>
                <w:color w:val="auto"/>
                <w:sz w:val="20"/>
                <w:highlight w:val="none"/>
              </w:rPr>
            </w:pPr>
            <w:r>
              <w:rPr>
                <w:rFonts w:hint="eastAsia" w:ascii="仿宋" w:hAnsi="仿宋" w:eastAsia="仿宋"/>
                <w:color w:val="auto"/>
                <w:sz w:val="20"/>
                <w:highlight w:val="none"/>
              </w:rPr>
              <w:t>（4）供应商具有ITSS信息技术服务标准证书认证范围含：（运行维护）的得2分，没有不得分，提供中国电子工业标准化技术协会https://itss.cn/web/itss/c/xxcx/cert查询截图。</w:t>
            </w:r>
          </w:p>
          <w:p>
            <w:pPr>
              <w:pStyle w:val="59"/>
              <w:rPr>
                <w:rFonts w:ascii="仿宋" w:hAnsi="仿宋" w:eastAsia="仿宋"/>
                <w:color w:val="auto"/>
                <w:sz w:val="20"/>
                <w:highlight w:val="none"/>
              </w:rPr>
            </w:pPr>
            <w:r>
              <w:rPr>
                <w:rFonts w:hint="eastAsia" w:ascii="仿宋" w:hAnsi="仿宋" w:eastAsia="仿宋"/>
                <w:color w:val="auto"/>
                <w:sz w:val="20"/>
                <w:highlight w:val="none"/>
              </w:rPr>
              <w:t>（5）2021年1月1日以来具有中华人民共和国家版权局计算机软件著作权登记证书的，其自主研发软件著作范围包括（等保测评项目管理、漏洞采集与分析、弱口令管理、安全漏洞自动加固、端口收集管理）每具备一项的得2分，满分10分，著作类型若有重复部分计分不重复。（提供清晰可辨的复印件加盖供应商公章并提供</w:t>
            </w:r>
            <w:r>
              <w:rPr>
                <w:highlight w:val="none"/>
              </w:rPr>
              <w:fldChar w:fldCharType="begin"/>
            </w:r>
            <w:r>
              <w:rPr>
                <w:highlight w:val="none"/>
              </w:rPr>
              <w:instrText xml:space="preserve"> HYPERLINK "https://register.ccopyright.com.cn/query.html" </w:instrText>
            </w:r>
            <w:r>
              <w:rPr>
                <w:highlight w:val="none"/>
              </w:rPr>
              <w:fldChar w:fldCharType="separate"/>
            </w:r>
            <w:r>
              <w:rPr>
                <w:rFonts w:hint="eastAsia" w:ascii="仿宋" w:hAnsi="仿宋" w:eastAsia="仿宋"/>
                <w:color w:val="auto"/>
                <w:sz w:val="20"/>
                <w:highlight w:val="none"/>
              </w:rPr>
              <w:t>中国版权登记查询服务平台 (ccopyright.com.cn)</w:t>
            </w:r>
            <w:r>
              <w:rPr>
                <w:rFonts w:hint="eastAsia" w:ascii="仿宋" w:hAnsi="仿宋" w:eastAsia="仿宋"/>
                <w:color w:val="auto"/>
                <w:sz w:val="20"/>
                <w:highlight w:val="none"/>
              </w:rPr>
              <w:fldChar w:fldCharType="end"/>
            </w:r>
            <w:r>
              <w:rPr>
                <w:rFonts w:hint="eastAsia" w:ascii="仿宋" w:hAnsi="仿宋" w:eastAsia="仿宋"/>
                <w:color w:val="auto"/>
                <w:sz w:val="20"/>
                <w:highlight w:val="none"/>
              </w:rPr>
              <w:t>查询结果截图，由专家评审现场核验）</w:t>
            </w:r>
          </w:p>
          <w:p>
            <w:pPr>
              <w:pStyle w:val="59"/>
              <w:rPr>
                <w:rFonts w:ascii="仿宋" w:hAnsi="仿宋" w:eastAsia="仿宋"/>
                <w:color w:val="auto"/>
                <w:sz w:val="20"/>
                <w:highlight w:val="none"/>
              </w:rPr>
            </w:pPr>
            <w:r>
              <w:rPr>
                <w:rFonts w:ascii="仿宋" w:hAnsi="仿宋" w:eastAsia="仿宋"/>
                <w:color w:val="auto"/>
                <w:sz w:val="20"/>
                <w:highlight w:val="none"/>
              </w:rPr>
              <w:t>（</w:t>
            </w:r>
            <w:r>
              <w:rPr>
                <w:rFonts w:hint="eastAsia" w:ascii="仿宋" w:hAnsi="仿宋" w:eastAsia="仿宋"/>
                <w:color w:val="auto"/>
                <w:sz w:val="20"/>
                <w:highlight w:val="none"/>
              </w:rPr>
              <w:t>上述五点评分</w:t>
            </w:r>
            <w:r>
              <w:rPr>
                <w:rFonts w:ascii="仿宋" w:hAnsi="仿宋" w:eastAsia="仿宋"/>
                <w:color w:val="auto"/>
                <w:sz w:val="20"/>
                <w:highlight w:val="none"/>
              </w:rPr>
              <w:t>提供以上有效的证书复印件并加盖公章）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vAlign w:val="center"/>
          </w:tcPr>
          <w:p>
            <w:pPr>
              <w:pStyle w:val="59"/>
              <w:rPr>
                <w:rFonts w:ascii="仿宋" w:hAnsi="仿宋" w:eastAsia="仿宋"/>
                <w:sz w:val="20"/>
                <w:highlight w:val="none"/>
              </w:rPr>
            </w:pPr>
            <w:r>
              <w:rPr>
                <w:rFonts w:ascii="仿宋" w:hAnsi="仿宋" w:eastAsia="仿宋"/>
                <w:sz w:val="20"/>
                <w:highlight w:val="none"/>
              </w:rPr>
              <w:t>2</w:t>
            </w:r>
          </w:p>
        </w:tc>
        <w:tc>
          <w:tcPr>
            <w:tcW w:w="978" w:type="dxa"/>
            <w:vAlign w:val="center"/>
          </w:tcPr>
          <w:p>
            <w:pPr>
              <w:pStyle w:val="59"/>
              <w:rPr>
                <w:rFonts w:ascii="仿宋" w:hAnsi="仿宋" w:eastAsia="仿宋"/>
                <w:sz w:val="20"/>
                <w:highlight w:val="none"/>
              </w:rPr>
            </w:pPr>
            <w:r>
              <w:rPr>
                <w:rFonts w:ascii="仿宋" w:hAnsi="仿宋" w:eastAsia="仿宋"/>
                <w:sz w:val="20"/>
                <w:highlight w:val="none"/>
              </w:rPr>
              <w:t>人员配备</w:t>
            </w:r>
          </w:p>
        </w:tc>
        <w:tc>
          <w:tcPr>
            <w:tcW w:w="1148" w:type="dxa"/>
            <w:vAlign w:val="center"/>
          </w:tcPr>
          <w:p>
            <w:pPr>
              <w:pStyle w:val="59"/>
              <w:jc w:val="center"/>
              <w:rPr>
                <w:rFonts w:ascii="仿宋" w:hAnsi="仿宋" w:eastAsia="仿宋"/>
                <w:sz w:val="20"/>
                <w:highlight w:val="none"/>
              </w:rPr>
            </w:pPr>
            <w:r>
              <w:rPr>
                <w:rFonts w:hint="eastAsia" w:ascii="仿宋" w:hAnsi="仿宋" w:eastAsia="仿宋"/>
                <w:sz w:val="20"/>
                <w:highlight w:val="none"/>
              </w:rPr>
              <w:t>25</w:t>
            </w:r>
          </w:p>
        </w:tc>
        <w:tc>
          <w:tcPr>
            <w:tcW w:w="5240" w:type="dxa"/>
            <w:vAlign w:val="center"/>
          </w:tcPr>
          <w:p>
            <w:pPr>
              <w:pStyle w:val="59"/>
              <w:rPr>
                <w:rFonts w:ascii="仿宋" w:hAnsi="仿宋" w:eastAsia="仿宋"/>
                <w:color w:val="auto"/>
                <w:sz w:val="20"/>
                <w:highlight w:val="none"/>
              </w:rPr>
            </w:pPr>
            <w:r>
              <w:rPr>
                <w:rFonts w:hint="eastAsia" w:ascii="仿宋" w:hAnsi="仿宋" w:eastAsia="仿宋"/>
                <w:color w:val="auto"/>
                <w:sz w:val="20"/>
                <w:highlight w:val="none"/>
              </w:rPr>
              <w:t>A.拟派本项目负责人具备信息（网络）安全等级测评师证书（高级）的得2分，没有的不得分。</w:t>
            </w:r>
          </w:p>
          <w:p>
            <w:pPr>
              <w:pStyle w:val="59"/>
              <w:rPr>
                <w:rFonts w:ascii="仿宋" w:hAnsi="仿宋" w:eastAsia="仿宋"/>
                <w:color w:val="auto"/>
                <w:sz w:val="20"/>
                <w:highlight w:val="none"/>
              </w:rPr>
            </w:pPr>
            <w:r>
              <w:rPr>
                <w:rFonts w:hint="eastAsia" w:ascii="仿宋" w:hAnsi="仿宋" w:eastAsia="仿宋"/>
                <w:color w:val="auto"/>
                <w:sz w:val="20"/>
                <w:highlight w:val="none"/>
              </w:rPr>
              <w:t>B.技术负责人（1人）（除项目负责人以外）具备信息（网络）安全等级测评师证书（高级）的同时满足以下证书：</w:t>
            </w:r>
          </w:p>
          <w:p>
            <w:pPr>
              <w:pStyle w:val="59"/>
              <w:rPr>
                <w:rFonts w:ascii="仿宋" w:hAnsi="仿宋" w:eastAsia="仿宋"/>
                <w:color w:val="auto"/>
                <w:sz w:val="20"/>
                <w:highlight w:val="none"/>
              </w:rPr>
            </w:pPr>
            <w:r>
              <w:rPr>
                <w:rFonts w:hint="eastAsia" w:ascii="仿宋" w:hAnsi="仿宋" w:eastAsia="仿宋"/>
                <w:color w:val="auto"/>
                <w:sz w:val="20"/>
                <w:highlight w:val="none"/>
              </w:rPr>
              <w:t>1.中国信息安全测评中心注册信息安全工程师CISP-CISE；</w:t>
            </w:r>
          </w:p>
          <w:p>
            <w:pPr>
              <w:pStyle w:val="59"/>
              <w:rPr>
                <w:rFonts w:ascii="仿宋" w:hAnsi="仿宋" w:eastAsia="仿宋"/>
                <w:color w:val="auto"/>
                <w:sz w:val="20"/>
                <w:highlight w:val="none"/>
              </w:rPr>
            </w:pPr>
            <w:r>
              <w:rPr>
                <w:rFonts w:hint="eastAsia" w:ascii="仿宋" w:hAnsi="仿宋" w:eastAsia="仿宋"/>
                <w:color w:val="auto"/>
                <w:sz w:val="20"/>
                <w:highlight w:val="none"/>
              </w:rPr>
              <w:t>2.工业和信息化部教育与考试中心颁发的信息安全管理工程师（高级）；</w:t>
            </w:r>
          </w:p>
          <w:p>
            <w:pPr>
              <w:pStyle w:val="59"/>
              <w:rPr>
                <w:rFonts w:ascii="仿宋" w:hAnsi="仿宋" w:eastAsia="仿宋"/>
                <w:color w:val="auto"/>
                <w:sz w:val="20"/>
                <w:highlight w:val="none"/>
              </w:rPr>
            </w:pPr>
            <w:r>
              <w:rPr>
                <w:rFonts w:hint="eastAsia" w:ascii="仿宋" w:hAnsi="仿宋" w:eastAsia="仿宋"/>
                <w:color w:val="auto"/>
                <w:sz w:val="20"/>
                <w:highlight w:val="none"/>
              </w:rPr>
              <w:t>3.计算机技术与软件专业技术资格的信息安全工程师（中级）；</w:t>
            </w:r>
          </w:p>
          <w:p>
            <w:pPr>
              <w:pStyle w:val="59"/>
              <w:rPr>
                <w:rFonts w:ascii="仿宋" w:hAnsi="仿宋" w:eastAsia="仿宋"/>
                <w:color w:val="auto"/>
                <w:sz w:val="20"/>
                <w:highlight w:val="none"/>
              </w:rPr>
            </w:pPr>
            <w:r>
              <w:rPr>
                <w:rFonts w:hint="eastAsia" w:ascii="仿宋" w:hAnsi="仿宋" w:eastAsia="仿宋"/>
                <w:color w:val="auto"/>
                <w:sz w:val="20"/>
                <w:highlight w:val="none"/>
              </w:rPr>
              <w:t>4.CCSS-P中级网络安全能力服务评价证书（安全实战能力评价）；</w:t>
            </w:r>
          </w:p>
          <w:p>
            <w:pPr>
              <w:pStyle w:val="59"/>
              <w:rPr>
                <w:rFonts w:ascii="仿宋" w:hAnsi="仿宋" w:eastAsia="仿宋"/>
                <w:color w:val="auto"/>
                <w:sz w:val="20"/>
                <w:highlight w:val="none"/>
              </w:rPr>
            </w:pPr>
            <w:r>
              <w:rPr>
                <w:rFonts w:hint="eastAsia" w:ascii="仿宋" w:hAnsi="仿宋" w:eastAsia="仿宋"/>
                <w:color w:val="auto"/>
                <w:sz w:val="20"/>
                <w:highlight w:val="none"/>
              </w:rPr>
              <w:t>全部具备得8分，每少一项扣2分，扣完为止，没有的不得分。</w:t>
            </w:r>
          </w:p>
          <w:p>
            <w:pPr>
              <w:pStyle w:val="59"/>
              <w:rPr>
                <w:rFonts w:ascii="仿宋" w:hAnsi="仿宋" w:eastAsia="仿宋"/>
                <w:color w:val="auto"/>
                <w:sz w:val="20"/>
                <w:highlight w:val="none"/>
              </w:rPr>
            </w:pPr>
            <w:r>
              <w:rPr>
                <w:rFonts w:hint="eastAsia" w:ascii="仿宋" w:hAnsi="仿宋" w:eastAsia="仿宋"/>
                <w:color w:val="auto"/>
                <w:sz w:val="20"/>
                <w:highlight w:val="none"/>
              </w:rPr>
              <w:t>C.质量负责人（1人）（除项目负责人、技术负责人以外）具备信息（网络）安全等级测评师证书（中级及以上）的同时满足以下证书：</w:t>
            </w:r>
          </w:p>
          <w:p>
            <w:pPr>
              <w:pStyle w:val="59"/>
              <w:rPr>
                <w:rFonts w:ascii="仿宋" w:hAnsi="仿宋" w:eastAsia="仿宋"/>
                <w:color w:val="auto"/>
                <w:sz w:val="20"/>
                <w:highlight w:val="none"/>
              </w:rPr>
            </w:pPr>
            <w:r>
              <w:rPr>
                <w:rFonts w:hint="eastAsia" w:ascii="仿宋" w:hAnsi="仿宋" w:eastAsia="仿宋"/>
                <w:color w:val="auto"/>
                <w:sz w:val="20"/>
                <w:highlight w:val="none"/>
              </w:rPr>
              <w:t>1.CCSS-P中级网络安全能力服务评价证书（安全实战能力评价）；</w:t>
            </w:r>
          </w:p>
          <w:p>
            <w:pPr>
              <w:pStyle w:val="59"/>
              <w:rPr>
                <w:rFonts w:ascii="仿宋" w:hAnsi="仿宋" w:eastAsia="仿宋"/>
                <w:color w:val="auto"/>
                <w:sz w:val="20"/>
                <w:highlight w:val="none"/>
              </w:rPr>
            </w:pPr>
            <w:r>
              <w:rPr>
                <w:rFonts w:hint="eastAsia" w:ascii="仿宋" w:hAnsi="仿宋" w:eastAsia="仿宋"/>
                <w:color w:val="auto"/>
                <w:sz w:val="20"/>
                <w:highlight w:val="none"/>
              </w:rPr>
              <w:t>2.中国信息安全测评中心注册数据安全治理专业人员CISP-DSG；</w:t>
            </w:r>
          </w:p>
          <w:p>
            <w:pPr>
              <w:pStyle w:val="59"/>
              <w:rPr>
                <w:rFonts w:ascii="仿宋" w:hAnsi="仿宋" w:eastAsia="仿宋"/>
                <w:color w:val="auto"/>
                <w:sz w:val="20"/>
                <w:highlight w:val="none"/>
              </w:rPr>
            </w:pPr>
            <w:r>
              <w:rPr>
                <w:rFonts w:hint="eastAsia" w:ascii="仿宋" w:hAnsi="仿宋" w:eastAsia="仿宋"/>
                <w:color w:val="auto"/>
                <w:sz w:val="20"/>
                <w:highlight w:val="none"/>
              </w:rPr>
              <w:t>3.工业和信息化部教育与考试中心颁发的网络信息安全工程师（高级）；</w:t>
            </w:r>
          </w:p>
          <w:p>
            <w:pPr>
              <w:pStyle w:val="59"/>
              <w:rPr>
                <w:rFonts w:ascii="仿宋" w:hAnsi="仿宋" w:eastAsia="仿宋"/>
                <w:color w:val="auto"/>
                <w:sz w:val="20"/>
                <w:highlight w:val="none"/>
              </w:rPr>
            </w:pPr>
            <w:r>
              <w:rPr>
                <w:rFonts w:hint="eastAsia" w:ascii="仿宋" w:hAnsi="仿宋" w:eastAsia="仿宋"/>
                <w:color w:val="auto"/>
                <w:sz w:val="20"/>
                <w:highlight w:val="none"/>
              </w:rPr>
              <w:t>4.中国信息安全认证中心信息安全保障人员CISAW证书（风险管理专业级RM/PL）；</w:t>
            </w:r>
          </w:p>
          <w:p>
            <w:pPr>
              <w:pStyle w:val="59"/>
              <w:rPr>
                <w:rFonts w:ascii="仿宋" w:hAnsi="仿宋" w:eastAsia="仿宋"/>
                <w:color w:val="auto"/>
                <w:sz w:val="20"/>
                <w:highlight w:val="none"/>
              </w:rPr>
            </w:pPr>
            <w:r>
              <w:rPr>
                <w:rFonts w:hint="eastAsia" w:ascii="仿宋" w:hAnsi="仿宋" w:eastAsia="仿宋"/>
                <w:color w:val="auto"/>
                <w:sz w:val="20"/>
                <w:highlight w:val="none"/>
              </w:rPr>
              <w:t>5.人力资源和社会保障厅颁发的高级工程师(电子工程专业)；</w:t>
            </w:r>
          </w:p>
          <w:p>
            <w:pPr>
              <w:pStyle w:val="59"/>
              <w:rPr>
                <w:rFonts w:ascii="仿宋" w:hAnsi="仿宋" w:eastAsia="仿宋"/>
                <w:color w:val="auto"/>
                <w:sz w:val="20"/>
                <w:highlight w:val="none"/>
              </w:rPr>
            </w:pPr>
            <w:r>
              <w:rPr>
                <w:rFonts w:hint="eastAsia" w:ascii="仿宋" w:hAnsi="仿宋" w:eastAsia="仿宋"/>
                <w:color w:val="auto"/>
                <w:sz w:val="20"/>
                <w:highlight w:val="none"/>
              </w:rPr>
              <w:t>6.人力资源和社会保障厅颁发的信息系统项目管理师（高级）；</w:t>
            </w:r>
          </w:p>
          <w:p>
            <w:pPr>
              <w:pStyle w:val="59"/>
              <w:rPr>
                <w:rFonts w:ascii="仿宋" w:hAnsi="仿宋" w:eastAsia="仿宋"/>
                <w:color w:val="auto"/>
                <w:sz w:val="20"/>
                <w:highlight w:val="none"/>
              </w:rPr>
            </w:pPr>
            <w:r>
              <w:rPr>
                <w:rFonts w:hint="eastAsia" w:ascii="仿宋" w:hAnsi="仿宋" w:eastAsia="仿宋"/>
                <w:color w:val="auto"/>
                <w:sz w:val="20"/>
                <w:highlight w:val="none"/>
              </w:rPr>
              <w:t>全部具备得12分，每少一项扣2分，扣完为止，没有的不得分。</w:t>
            </w:r>
          </w:p>
          <w:p>
            <w:pPr>
              <w:pStyle w:val="59"/>
              <w:rPr>
                <w:rFonts w:ascii="仿宋" w:hAnsi="仿宋" w:eastAsia="仿宋"/>
                <w:color w:val="auto"/>
                <w:sz w:val="20"/>
                <w:highlight w:val="none"/>
              </w:rPr>
            </w:pPr>
            <w:r>
              <w:rPr>
                <w:rFonts w:hint="eastAsia" w:ascii="仿宋" w:hAnsi="仿宋" w:eastAsia="仿宋"/>
                <w:color w:val="auto"/>
                <w:sz w:val="20"/>
                <w:highlight w:val="none"/>
              </w:rPr>
              <w:t>D.测评成员（4人）（除以上项目负责人、技术负责人、质量负责人外）：</w:t>
            </w:r>
          </w:p>
          <w:p>
            <w:pPr>
              <w:pStyle w:val="59"/>
              <w:rPr>
                <w:rFonts w:ascii="仿宋" w:hAnsi="仿宋" w:eastAsia="仿宋"/>
                <w:color w:val="auto"/>
                <w:sz w:val="20"/>
                <w:highlight w:val="none"/>
              </w:rPr>
            </w:pPr>
            <w:r>
              <w:rPr>
                <w:rFonts w:hint="eastAsia" w:ascii="仿宋" w:hAnsi="仿宋" w:eastAsia="仿宋"/>
                <w:color w:val="auto"/>
                <w:sz w:val="20"/>
                <w:highlight w:val="none"/>
              </w:rPr>
              <w:t>拟派本项目的测评成员中，具有网络安全等级测评师证书初级及以上同时满足以下：</w:t>
            </w:r>
          </w:p>
          <w:p>
            <w:pPr>
              <w:pStyle w:val="59"/>
              <w:rPr>
                <w:rFonts w:ascii="仿宋" w:hAnsi="仿宋" w:eastAsia="仿宋"/>
                <w:color w:val="auto"/>
                <w:sz w:val="20"/>
                <w:highlight w:val="none"/>
              </w:rPr>
            </w:pPr>
            <w:r>
              <w:rPr>
                <w:rFonts w:hint="eastAsia" w:ascii="仿宋" w:hAnsi="仿宋" w:eastAsia="仿宋"/>
                <w:color w:val="auto"/>
                <w:sz w:val="20"/>
                <w:highlight w:val="none"/>
              </w:rPr>
              <w:t>1.信息安全保障人员认证(CISAW)证书(安全运维专业级)；</w:t>
            </w:r>
          </w:p>
          <w:p>
            <w:pPr>
              <w:pStyle w:val="59"/>
              <w:rPr>
                <w:rFonts w:ascii="仿宋" w:hAnsi="仿宋" w:eastAsia="仿宋"/>
                <w:color w:val="auto"/>
                <w:sz w:val="20"/>
                <w:highlight w:val="none"/>
              </w:rPr>
            </w:pPr>
            <w:r>
              <w:rPr>
                <w:rFonts w:hint="eastAsia" w:ascii="仿宋" w:hAnsi="仿宋" w:eastAsia="仿宋"/>
                <w:color w:val="auto"/>
                <w:sz w:val="20"/>
                <w:highlight w:val="none"/>
              </w:rPr>
              <w:t>2.工业和信息化部教育与考试中心颁发的网络信息安全工程师（高级）；</w:t>
            </w:r>
          </w:p>
          <w:p>
            <w:pPr>
              <w:pStyle w:val="59"/>
              <w:rPr>
                <w:rFonts w:ascii="仿宋" w:hAnsi="仿宋" w:eastAsia="仿宋"/>
                <w:color w:val="auto"/>
                <w:sz w:val="20"/>
                <w:highlight w:val="none"/>
              </w:rPr>
            </w:pPr>
            <w:r>
              <w:rPr>
                <w:rFonts w:hint="eastAsia" w:ascii="仿宋" w:hAnsi="仿宋" w:eastAsia="仿宋"/>
                <w:color w:val="auto"/>
                <w:sz w:val="20"/>
                <w:highlight w:val="none"/>
              </w:rPr>
              <w:t>3.中国信息安全测评中心颁发的国家信息安全水平证书；</w:t>
            </w:r>
          </w:p>
          <w:p>
            <w:pPr>
              <w:pStyle w:val="59"/>
              <w:rPr>
                <w:rFonts w:ascii="仿宋" w:hAnsi="仿宋" w:eastAsia="仿宋"/>
                <w:color w:val="auto"/>
                <w:sz w:val="20"/>
                <w:highlight w:val="none"/>
              </w:rPr>
            </w:pPr>
            <w:r>
              <w:rPr>
                <w:rFonts w:hint="eastAsia" w:ascii="仿宋" w:hAnsi="仿宋" w:eastAsia="仿宋"/>
                <w:color w:val="auto"/>
                <w:sz w:val="20"/>
                <w:highlight w:val="none"/>
              </w:rPr>
              <w:t>每一人具备一项的得1分，满分得3分，没有不得分。</w:t>
            </w:r>
          </w:p>
          <w:p>
            <w:pPr>
              <w:pStyle w:val="59"/>
              <w:rPr>
                <w:rFonts w:ascii="仿宋" w:hAnsi="仿宋" w:eastAsia="仿宋"/>
                <w:color w:val="auto"/>
                <w:sz w:val="20"/>
                <w:highlight w:val="none"/>
              </w:rPr>
            </w:pPr>
            <w:r>
              <w:rPr>
                <w:rFonts w:hint="eastAsia" w:ascii="仿宋" w:hAnsi="仿宋" w:eastAsia="仿宋"/>
                <w:color w:val="auto"/>
                <w:sz w:val="20"/>
                <w:highlight w:val="none"/>
              </w:rPr>
              <w:t>注:1.以上证书不重复计分，人员同时具备多项证书的只按每人具备一项得分为准，若有重复部分计分不重复。</w:t>
            </w:r>
          </w:p>
          <w:p>
            <w:pPr>
              <w:pStyle w:val="59"/>
              <w:rPr>
                <w:rFonts w:ascii="仿宋" w:hAnsi="仿宋" w:eastAsia="仿宋"/>
                <w:sz w:val="20"/>
                <w:highlight w:val="none"/>
              </w:rPr>
            </w:pPr>
            <w:r>
              <w:rPr>
                <w:rFonts w:hint="eastAsia" w:ascii="仿宋" w:hAnsi="仿宋" w:eastAsia="仿宋"/>
                <w:color w:val="auto"/>
                <w:sz w:val="20"/>
                <w:highlight w:val="none"/>
              </w:rPr>
              <w:t>2.响应文件中提供证书及供应商近六个月任意一月(自公告之日往前推)为其缴纳社保的记录复印件加盖供应商公章。提供以上项目组成员有效证书清晰可辨的复印件加盖供应商公章装订在响应文件中，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75" w:type="dxa"/>
            <w:gridSpan w:val="4"/>
            <w:vAlign w:val="center"/>
          </w:tcPr>
          <w:p>
            <w:pPr>
              <w:pStyle w:val="59"/>
              <w:rPr>
                <w:rFonts w:ascii="仿宋" w:hAnsi="仿宋" w:eastAsia="仿宋"/>
                <w:b/>
                <w:sz w:val="20"/>
                <w:highlight w:val="none"/>
              </w:rPr>
            </w:pPr>
            <w:r>
              <w:rPr>
                <w:rFonts w:ascii="仿宋" w:hAnsi="仿宋" w:eastAsia="仿宋"/>
                <w:b/>
                <w:sz w:val="20"/>
                <w:highlight w:val="none"/>
              </w:rPr>
              <w:t>三</w:t>
            </w:r>
            <w:r>
              <w:rPr>
                <w:rFonts w:hint="eastAsia" w:ascii="仿宋" w:hAnsi="仿宋" w:eastAsia="仿宋"/>
                <w:b/>
                <w:sz w:val="20"/>
                <w:highlight w:val="none"/>
              </w:rPr>
              <w:t xml:space="preserve">  </w:t>
            </w:r>
            <w:r>
              <w:rPr>
                <w:rFonts w:ascii="仿宋" w:hAnsi="仿宋" w:eastAsia="仿宋"/>
                <w:b/>
                <w:sz w:val="20"/>
                <w:highlight w:val="none"/>
              </w:rPr>
              <w:t>技术方案评价（</w:t>
            </w:r>
            <w:r>
              <w:rPr>
                <w:rFonts w:hint="eastAsia" w:ascii="仿宋" w:hAnsi="仿宋" w:eastAsia="仿宋"/>
                <w:b/>
                <w:sz w:val="20"/>
                <w:highlight w:val="none"/>
              </w:rPr>
              <w:t>30</w:t>
            </w:r>
            <w:r>
              <w:rPr>
                <w:rFonts w:ascii="仿宋" w:hAnsi="仿宋" w:eastAsia="仿宋"/>
                <w:b/>
                <w:sz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1</w:t>
            </w:r>
          </w:p>
        </w:tc>
        <w:tc>
          <w:tcPr>
            <w:tcW w:w="978"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测评项目概述</w:t>
            </w:r>
          </w:p>
        </w:tc>
        <w:tc>
          <w:tcPr>
            <w:tcW w:w="1148" w:type="dxa"/>
            <w:vAlign w:val="center"/>
          </w:tcPr>
          <w:p>
            <w:pPr>
              <w:jc w:val="cente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5240"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项目简介、测评范围与目标、测评依据、测评原则（客观公正、保密、规范性、质量保障、系统安全、测评师规范、扩展性、整体性）等方面针对本项目特性进行详细说明，</w:t>
            </w:r>
            <w:r>
              <w:rPr>
                <w:rFonts w:hint="eastAsia" w:ascii="仿宋" w:hAnsi="仿宋" w:eastAsia="仿宋" w:cs="宋体"/>
                <w:kern w:val="0"/>
                <w:sz w:val="20"/>
                <w:highlight w:val="none"/>
                <w:lang w:val="zh-CN"/>
              </w:rPr>
              <w:t>由评委在各投标人之间横向比较，分档给分。方案非常明确、详尽，合理，可操作性强，得</w:t>
            </w:r>
            <w:r>
              <w:rPr>
                <w:rFonts w:hint="eastAsia" w:ascii="仿宋" w:hAnsi="仿宋" w:eastAsia="仿宋" w:cs="宋体"/>
                <w:kern w:val="0"/>
                <w:sz w:val="20"/>
                <w:highlight w:val="none"/>
              </w:rPr>
              <w:t>4-5</w:t>
            </w:r>
            <w:r>
              <w:rPr>
                <w:rFonts w:hint="eastAsia" w:ascii="仿宋" w:hAnsi="仿宋" w:eastAsia="仿宋" w:cs="宋体"/>
                <w:kern w:val="0"/>
                <w:sz w:val="20"/>
                <w:highlight w:val="none"/>
                <w:lang w:val="zh-CN"/>
              </w:rPr>
              <w:t>分；方案基本明确、合理，可操作性一般，得</w:t>
            </w:r>
            <w:r>
              <w:rPr>
                <w:rFonts w:hint="eastAsia" w:ascii="仿宋" w:hAnsi="仿宋" w:eastAsia="仿宋" w:cs="宋体"/>
                <w:kern w:val="0"/>
                <w:sz w:val="20"/>
                <w:highlight w:val="none"/>
              </w:rPr>
              <w:t>2-3</w:t>
            </w:r>
            <w:r>
              <w:rPr>
                <w:rFonts w:hint="eastAsia" w:ascii="仿宋" w:hAnsi="仿宋" w:eastAsia="仿宋" w:cs="宋体"/>
                <w:kern w:val="0"/>
                <w:sz w:val="20"/>
                <w:highlight w:val="none"/>
                <w:lang w:val="zh-CN"/>
              </w:rPr>
              <w:t>分；方案不太明确、合理，可操作性较差，得</w:t>
            </w:r>
            <w:r>
              <w:rPr>
                <w:rFonts w:hint="eastAsia" w:ascii="仿宋" w:hAnsi="仿宋" w:eastAsia="仿宋" w:cs="宋体"/>
                <w:kern w:val="0"/>
                <w:sz w:val="20"/>
                <w:highlight w:val="none"/>
              </w:rPr>
              <w:t>0-1</w:t>
            </w:r>
            <w:r>
              <w:rPr>
                <w:rFonts w:hint="eastAsia" w:ascii="仿宋" w:hAnsi="仿宋" w:eastAsia="仿宋" w:cs="宋体"/>
                <w:kern w:val="0"/>
                <w:sz w:val="20"/>
                <w:highlight w:val="none"/>
                <w:lang w:val="zh-CN"/>
              </w:rPr>
              <w:t>分。未提供对应方案不得分。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2</w:t>
            </w:r>
          </w:p>
        </w:tc>
        <w:tc>
          <w:tcPr>
            <w:tcW w:w="978"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测评方法及要求</w:t>
            </w:r>
          </w:p>
        </w:tc>
        <w:tc>
          <w:tcPr>
            <w:tcW w:w="1148" w:type="dxa"/>
            <w:vAlign w:val="center"/>
          </w:tcPr>
          <w:p>
            <w:pPr>
              <w:jc w:val="cente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5240"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测评指标（安全通用要求、安全扩展要求）、测评内容（单项测评：安全物理环境、安全通信网络、安全区域边界、安全计算环境、安全管理中心、安全管理制度、安全管理机构、安全管理人员、安全建设管理、安全运维管理）、（整体测评：安全控制点间、层面间、区域间、系统结构安全测评）、测评方法（访谈、核查、测试）、测评工作流程（测评准备活动、方案编制活动、现场测评活动、报告编制活动）等方面内容进行详细说明；</w:t>
            </w:r>
            <w:r>
              <w:rPr>
                <w:rFonts w:hint="eastAsia" w:ascii="仿宋" w:hAnsi="仿宋" w:eastAsia="仿宋" w:cs="宋体"/>
                <w:kern w:val="0"/>
                <w:sz w:val="20"/>
                <w:highlight w:val="none"/>
                <w:lang w:val="zh-CN"/>
              </w:rPr>
              <w:t>由评委在各投标人之间横向比较，分档给分。方案非常明确、详尽，合理，可操作性强，得</w:t>
            </w:r>
            <w:r>
              <w:rPr>
                <w:rFonts w:hint="eastAsia" w:ascii="仿宋" w:hAnsi="仿宋" w:eastAsia="仿宋" w:cs="宋体"/>
                <w:kern w:val="0"/>
                <w:sz w:val="20"/>
                <w:highlight w:val="none"/>
              </w:rPr>
              <w:t>4-5</w:t>
            </w:r>
            <w:r>
              <w:rPr>
                <w:rFonts w:hint="eastAsia" w:ascii="仿宋" w:hAnsi="仿宋" w:eastAsia="仿宋" w:cs="宋体"/>
                <w:kern w:val="0"/>
                <w:sz w:val="20"/>
                <w:highlight w:val="none"/>
                <w:lang w:val="zh-CN"/>
              </w:rPr>
              <w:t>分；方案基本明确、合理，可操作性一般，得</w:t>
            </w:r>
            <w:r>
              <w:rPr>
                <w:rFonts w:hint="eastAsia" w:ascii="仿宋" w:hAnsi="仿宋" w:eastAsia="仿宋" w:cs="宋体"/>
                <w:kern w:val="0"/>
                <w:sz w:val="20"/>
                <w:highlight w:val="none"/>
              </w:rPr>
              <w:t>2-3</w:t>
            </w:r>
            <w:r>
              <w:rPr>
                <w:rFonts w:hint="eastAsia" w:ascii="仿宋" w:hAnsi="仿宋" w:eastAsia="仿宋" w:cs="宋体"/>
                <w:kern w:val="0"/>
                <w:sz w:val="20"/>
                <w:highlight w:val="none"/>
                <w:lang w:val="zh-CN"/>
              </w:rPr>
              <w:t>分；方案不太明确、合理，可操作性较差，得</w:t>
            </w:r>
            <w:r>
              <w:rPr>
                <w:rFonts w:hint="eastAsia" w:ascii="仿宋" w:hAnsi="仿宋" w:eastAsia="仿宋" w:cs="宋体"/>
                <w:kern w:val="0"/>
                <w:sz w:val="20"/>
                <w:highlight w:val="none"/>
              </w:rPr>
              <w:t>0-1</w:t>
            </w:r>
            <w:r>
              <w:rPr>
                <w:rFonts w:hint="eastAsia" w:ascii="仿宋" w:hAnsi="仿宋" w:eastAsia="仿宋" w:cs="宋体"/>
                <w:kern w:val="0"/>
                <w:sz w:val="20"/>
                <w:highlight w:val="none"/>
                <w:lang w:val="zh-CN"/>
              </w:rPr>
              <w:t>分。未提供对应方案不得分。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3</w:t>
            </w:r>
          </w:p>
        </w:tc>
        <w:tc>
          <w:tcPr>
            <w:tcW w:w="978"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测评实施方案</w:t>
            </w:r>
          </w:p>
        </w:tc>
        <w:tc>
          <w:tcPr>
            <w:tcW w:w="1148" w:type="dxa"/>
            <w:vAlign w:val="center"/>
          </w:tcPr>
          <w:p>
            <w:pPr>
              <w:jc w:val="cente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5240"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通过项目组织结构、人员构成和职责、项目实施计划、测评实施规范、新技术新应用等级测评实施补充、测评对象确定准则、测评实施风险控制等方面内容进行详细说明；</w:t>
            </w:r>
            <w:r>
              <w:rPr>
                <w:rFonts w:hint="eastAsia" w:ascii="仿宋" w:hAnsi="仿宋" w:eastAsia="仿宋" w:cs="宋体"/>
                <w:kern w:val="0"/>
                <w:sz w:val="20"/>
                <w:highlight w:val="none"/>
                <w:lang w:val="zh-CN"/>
              </w:rPr>
              <w:t>由评委在各投标人之间横向比较，分档给分。方案非常明确、详尽，合理，可操作性强，得</w:t>
            </w:r>
            <w:r>
              <w:rPr>
                <w:rFonts w:hint="eastAsia" w:ascii="仿宋" w:hAnsi="仿宋" w:eastAsia="仿宋" w:cs="宋体"/>
                <w:kern w:val="0"/>
                <w:sz w:val="20"/>
                <w:highlight w:val="none"/>
              </w:rPr>
              <w:t>4-5</w:t>
            </w:r>
            <w:r>
              <w:rPr>
                <w:rFonts w:hint="eastAsia" w:ascii="仿宋" w:hAnsi="仿宋" w:eastAsia="仿宋" w:cs="宋体"/>
                <w:kern w:val="0"/>
                <w:sz w:val="20"/>
                <w:highlight w:val="none"/>
                <w:lang w:val="zh-CN"/>
              </w:rPr>
              <w:t>分；方案基本明确、合理，可操作性一般，得</w:t>
            </w:r>
            <w:r>
              <w:rPr>
                <w:rFonts w:hint="eastAsia" w:ascii="仿宋" w:hAnsi="仿宋" w:eastAsia="仿宋" w:cs="宋体"/>
                <w:kern w:val="0"/>
                <w:sz w:val="20"/>
                <w:highlight w:val="none"/>
              </w:rPr>
              <w:t>2-3</w:t>
            </w:r>
            <w:r>
              <w:rPr>
                <w:rFonts w:hint="eastAsia" w:ascii="仿宋" w:hAnsi="仿宋" w:eastAsia="仿宋" w:cs="宋体"/>
                <w:kern w:val="0"/>
                <w:sz w:val="20"/>
                <w:highlight w:val="none"/>
                <w:lang w:val="zh-CN"/>
              </w:rPr>
              <w:t>分；方案不太明确、合理，可操作性较差，得</w:t>
            </w:r>
            <w:r>
              <w:rPr>
                <w:rFonts w:hint="eastAsia" w:ascii="仿宋" w:hAnsi="仿宋" w:eastAsia="仿宋" w:cs="宋体"/>
                <w:kern w:val="0"/>
                <w:sz w:val="20"/>
                <w:highlight w:val="none"/>
              </w:rPr>
              <w:t>0-1</w:t>
            </w:r>
            <w:r>
              <w:rPr>
                <w:rFonts w:hint="eastAsia" w:ascii="仿宋" w:hAnsi="仿宋" w:eastAsia="仿宋" w:cs="宋体"/>
                <w:kern w:val="0"/>
                <w:sz w:val="20"/>
                <w:highlight w:val="none"/>
                <w:lang w:val="zh-CN"/>
              </w:rPr>
              <w:t>分。未提供对应方案不得分。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4</w:t>
            </w:r>
          </w:p>
        </w:tc>
        <w:tc>
          <w:tcPr>
            <w:tcW w:w="978"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测评工具</w:t>
            </w:r>
          </w:p>
        </w:tc>
        <w:tc>
          <w:tcPr>
            <w:tcW w:w="1148" w:type="dxa"/>
            <w:vAlign w:val="center"/>
          </w:tcPr>
          <w:p>
            <w:pPr>
              <w:jc w:val="cente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5240"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技术分类、技术选择、检查技术、识别和分析技术、漏洞验证技术、测评工具选择等方面内容进行详细说明，</w:t>
            </w:r>
            <w:r>
              <w:rPr>
                <w:rFonts w:hint="eastAsia" w:ascii="仿宋" w:hAnsi="仿宋" w:eastAsia="仿宋" w:cs="宋体"/>
                <w:kern w:val="0"/>
                <w:sz w:val="20"/>
                <w:highlight w:val="none"/>
                <w:lang w:val="zh-CN"/>
              </w:rPr>
              <w:t>由评委在各投标人之间横向比较，分档给分。方案非常明确、详尽，合理，可操作性强，得</w:t>
            </w:r>
            <w:r>
              <w:rPr>
                <w:rFonts w:hint="eastAsia" w:ascii="仿宋" w:hAnsi="仿宋" w:eastAsia="仿宋" w:cs="宋体"/>
                <w:kern w:val="0"/>
                <w:sz w:val="20"/>
                <w:highlight w:val="none"/>
              </w:rPr>
              <w:t>4-5</w:t>
            </w:r>
            <w:r>
              <w:rPr>
                <w:rFonts w:hint="eastAsia" w:ascii="仿宋" w:hAnsi="仿宋" w:eastAsia="仿宋" w:cs="宋体"/>
                <w:kern w:val="0"/>
                <w:sz w:val="20"/>
                <w:highlight w:val="none"/>
                <w:lang w:val="zh-CN"/>
              </w:rPr>
              <w:t>分；方案基本明确、合理，可操作性一般，得</w:t>
            </w:r>
            <w:r>
              <w:rPr>
                <w:rFonts w:hint="eastAsia" w:ascii="仿宋" w:hAnsi="仿宋" w:eastAsia="仿宋" w:cs="宋体"/>
                <w:kern w:val="0"/>
                <w:sz w:val="20"/>
                <w:highlight w:val="none"/>
              </w:rPr>
              <w:t>2-3</w:t>
            </w:r>
            <w:r>
              <w:rPr>
                <w:rFonts w:hint="eastAsia" w:ascii="仿宋" w:hAnsi="仿宋" w:eastAsia="仿宋" w:cs="宋体"/>
                <w:kern w:val="0"/>
                <w:sz w:val="20"/>
                <w:highlight w:val="none"/>
                <w:lang w:val="zh-CN"/>
              </w:rPr>
              <w:t>分；方案不太明确、合理，可操作性较差，得</w:t>
            </w:r>
            <w:r>
              <w:rPr>
                <w:rFonts w:hint="eastAsia" w:ascii="仿宋" w:hAnsi="仿宋" w:eastAsia="仿宋" w:cs="宋体"/>
                <w:kern w:val="0"/>
                <w:sz w:val="20"/>
                <w:highlight w:val="none"/>
              </w:rPr>
              <w:t>0-1</w:t>
            </w:r>
            <w:r>
              <w:rPr>
                <w:rFonts w:hint="eastAsia" w:ascii="仿宋" w:hAnsi="仿宋" w:eastAsia="仿宋" w:cs="宋体"/>
                <w:kern w:val="0"/>
                <w:sz w:val="20"/>
                <w:highlight w:val="none"/>
                <w:lang w:val="zh-CN"/>
              </w:rPr>
              <w:t>分。未提供对应方案不得分。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978"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验收方案</w:t>
            </w:r>
          </w:p>
        </w:tc>
        <w:tc>
          <w:tcPr>
            <w:tcW w:w="1148" w:type="dxa"/>
            <w:vAlign w:val="center"/>
          </w:tcPr>
          <w:p>
            <w:pPr>
              <w:jc w:val="cente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5240"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测评验收方案根据项目交付文档、验收标准、验收程序等方面内容进行详细说明，</w:t>
            </w:r>
            <w:r>
              <w:rPr>
                <w:rFonts w:hint="eastAsia" w:ascii="仿宋" w:hAnsi="仿宋" w:eastAsia="仿宋" w:cs="宋体"/>
                <w:kern w:val="0"/>
                <w:sz w:val="20"/>
                <w:highlight w:val="none"/>
                <w:lang w:val="zh-CN"/>
              </w:rPr>
              <w:t>由评委在各投标人之间横向比较，分档给分。方案非常明确、详尽，合理，可操作性强，得</w:t>
            </w:r>
            <w:r>
              <w:rPr>
                <w:rFonts w:hint="eastAsia" w:ascii="仿宋" w:hAnsi="仿宋" w:eastAsia="仿宋" w:cs="宋体"/>
                <w:kern w:val="0"/>
                <w:sz w:val="20"/>
                <w:highlight w:val="none"/>
              </w:rPr>
              <w:t>4-5</w:t>
            </w:r>
            <w:r>
              <w:rPr>
                <w:rFonts w:hint="eastAsia" w:ascii="仿宋" w:hAnsi="仿宋" w:eastAsia="仿宋" w:cs="宋体"/>
                <w:kern w:val="0"/>
                <w:sz w:val="20"/>
                <w:highlight w:val="none"/>
                <w:lang w:val="zh-CN"/>
              </w:rPr>
              <w:t>分；方案基本明确、合理，可操作性一般，得</w:t>
            </w:r>
            <w:r>
              <w:rPr>
                <w:rFonts w:hint="eastAsia" w:ascii="仿宋" w:hAnsi="仿宋" w:eastAsia="仿宋" w:cs="宋体"/>
                <w:kern w:val="0"/>
                <w:sz w:val="20"/>
                <w:highlight w:val="none"/>
              </w:rPr>
              <w:t>2-3</w:t>
            </w:r>
            <w:r>
              <w:rPr>
                <w:rFonts w:hint="eastAsia" w:ascii="仿宋" w:hAnsi="仿宋" w:eastAsia="仿宋" w:cs="宋体"/>
                <w:kern w:val="0"/>
                <w:sz w:val="20"/>
                <w:highlight w:val="none"/>
                <w:lang w:val="zh-CN"/>
              </w:rPr>
              <w:t>分；方案不太明确、合理，可操作性较差，得</w:t>
            </w:r>
            <w:r>
              <w:rPr>
                <w:rFonts w:hint="eastAsia" w:ascii="仿宋" w:hAnsi="仿宋" w:eastAsia="仿宋" w:cs="宋体"/>
                <w:kern w:val="0"/>
                <w:sz w:val="20"/>
                <w:highlight w:val="none"/>
              </w:rPr>
              <w:t>0-1</w:t>
            </w:r>
            <w:r>
              <w:rPr>
                <w:rFonts w:hint="eastAsia" w:ascii="仿宋" w:hAnsi="仿宋" w:eastAsia="仿宋" w:cs="宋体"/>
                <w:kern w:val="0"/>
                <w:sz w:val="20"/>
                <w:highlight w:val="none"/>
                <w:lang w:val="zh-CN"/>
              </w:rPr>
              <w:t>分。未提供对应方案不得分。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6</w:t>
            </w:r>
          </w:p>
        </w:tc>
        <w:tc>
          <w:tcPr>
            <w:tcW w:w="978"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保密管理措施</w:t>
            </w:r>
          </w:p>
        </w:tc>
        <w:tc>
          <w:tcPr>
            <w:tcW w:w="1148" w:type="dxa"/>
            <w:vAlign w:val="center"/>
          </w:tcPr>
          <w:p>
            <w:pPr>
              <w:jc w:val="center"/>
              <w:rPr>
                <w:rFonts w:ascii="仿宋" w:hAnsi="仿宋" w:eastAsia="仿宋" w:cs="宋体"/>
                <w:kern w:val="0"/>
                <w:sz w:val="20"/>
                <w:highlight w:val="none"/>
              </w:rPr>
            </w:pPr>
            <w:r>
              <w:rPr>
                <w:rFonts w:hint="eastAsia" w:ascii="仿宋" w:hAnsi="仿宋" w:eastAsia="仿宋" w:cs="宋体"/>
                <w:kern w:val="0"/>
                <w:sz w:val="20"/>
                <w:highlight w:val="none"/>
              </w:rPr>
              <w:t>5</w:t>
            </w:r>
          </w:p>
        </w:tc>
        <w:tc>
          <w:tcPr>
            <w:tcW w:w="5240" w:type="dxa"/>
            <w:vAlign w:val="center"/>
          </w:tcPr>
          <w:p>
            <w:pPr>
              <w:rPr>
                <w:rFonts w:ascii="仿宋" w:hAnsi="仿宋" w:eastAsia="仿宋" w:cs="宋体"/>
                <w:kern w:val="0"/>
                <w:sz w:val="20"/>
                <w:highlight w:val="none"/>
              </w:rPr>
            </w:pPr>
            <w:r>
              <w:rPr>
                <w:rFonts w:hint="eastAsia" w:ascii="仿宋" w:hAnsi="仿宋" w:eastAsia="仿宋" w:cs="宋体"/>
                <w:kern w:val="0"/>
                <w:sz w:val="20"/>
                <w:highlight w:val="none"/>
              </w:rPr>
              <w:t>保密控制管理（人员保密、设备保密、文档保密）、文档定级标准、保密组织及职责、信息安全保密措施及要求、责任追究等方面内容进行详细说明，</w:t>
            </w:r>
            <w:r>
              <w:rPr>
                <w:rFonts w:hint="eastAsia" w:ascii="仿宋" w:hAnsi="仿宋" w:eastAsia="仿宋" w:cs="宋体"/>
                <w:kern w:val="0"/>
                <w:sz w:val="20"/>
                <w:highlight w:val="none"/>
                <w:lang w:val="zh-CN"/>
              </w:rPr>
              <w:t>由评委在各投标人之间横向比较，分档给分。方案非常明确、详尽，合理，可操作性强，得</w:t>
            </w:r>
            <w:r>
              <w:rPr>
                <w:rFonts w:hint="eastAsia" w:ascii="仿宋" w:hAnsi="仿宋" w:eastAsia="仿宋" w:cs="宋体"/>
                <w:kern w:val="0"/>
                <w:sz w:val="20"/>
                <w:highlight w:val="none"/>
              </w:rPr>
              <w:t>4-5</w:t>
            </w:r>
            <w:r>
              <w:rPr>
                <w:rFonts w:hint="eastAsia" w:ascii="仿宋" w:hAnsi="仿宋" w:eastAsia="仿宋" w:cs="宋体"/>
                <w:kern w:val="0"/>
                <w:sz w:val="20"/>
                <w:highlight w:val="none"/>
                <w:lang w:val="zh-CN"/>
              </w:rPr>
              <w:t>分；方案基本明确、合理，可操作性一般，得</w:t>
            </w:r>
            <w:r>
              <w:rPr>
                <w:rFonts w:hint="eastAsia" w:ascii="仿宋" w:hAnsi="仿宋" w:eastAsia="仿宋" w:cs="宋体"/>
                <w:kern w:val="0"/>
                <w:sz w:val="20"/>
                <w:highlight w:val="none"/>
              </w:rPr>
              <w:t>2-3</w:t>
            </w:r>
            <w:r>
              <w:rPr>
                <w:rFonts w:hint="eastAsia" w:ascii="仿宋" w:hAnsi="仿宋" w:eastAsia="仿宋" w:cs="宋体"/>
                <w:kern w:val="0"/>
                <w:sz w:val="20"/>
                <w:highlight w:val="none"/>
                <w:lang w:val="zh-CN"/>
              </w:rPr>
              <w:t>分；方案不太明确、合理，可操作性较差，得</w:t>
            </w:r>
            <w:r>
              <w:rPr>
                <w:rFonts w:hint="eastAsia" w:ascii="仿宋" w:hAnsi="仿宋" w:eastAsia="仿宋" w:cs="宋体"/>
                <w:kern w:val="0"/>
                <w:sz w:val="20"/>
                <w:highlight w:val="none"/>
              </w:rPr>
              <w:t>0-1</w:t>
            </w:r>
            <w:r>
              <w:rPr>
                <w:rFonts w:hint="eastAsia" w:ascii="仿宋" w:hAnsi="仿宋" w:eastAsia="仿宋" w:cs="宋体"/>
                <w:kern w:val="0"/>
                <w:sz w:val="20"/>
                <w:highlight w:val="none"/>
                <w:lang w:val="zh-CN"/>
              </w:rPr>
              <w:t>分。未提供对应方案不得分。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075" w:type="dxa"/>
            <w:gridSpan w:val="4"/>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b/>
                <w:sz w:val="20"/>
                <w:highlight w:val="none"/>
              </w:rPr>
            </w:pPr>
            <w:r>
              <w:rPr>
                <w:rFonts w:ascii="仿宋" w:hAnsi="仿宋" w:eastAsia="仿宋"/>
                <w:b/>
                <w:sz w:val="20"/>
                <w:highlight w:val="none"/>
              </w:rPr>
              <w:t>四</w:t>
            </w:r>
            <w:r>
              <w:rPr>
                <w:rFonts w:hint="eastAsia" w:ascii="仿宋" w:hAnsi="仿宋" w:eastAsia="仿宋"/>
                <w:b/>
                <w:sz w:val="20"/>
                <w:highlight w:val="none"/>
              </w:rPr>
              <w:t xml:space="preserve">  </w:t>
            </w:r>
            <w:r>
              <w:rPr>
                <w:rFonts w:ascii="仿宋" w:hAnsi="仿宋" w:eastAsia="仿宋"/>
                <w:b/>
                <w:sz w:val="20"/>
                <w:highlight w:val="none"/>
              </w:rPr>
              <w:t>企业业绩（</w:t>
            </w:r>
            <w:r>
              <w:rPr>
                <w:rFonts w:hint="eastAsia" w:ascii="仿宋" w:hAnsi="仿宋" w:eastAsia="仿宋"/>
                <w:b/>
                <w:sz w:val="20"/>
                <w:highlight w:val="none"/>
              </w:rPr>
              <w:t>5</w:t>
            </w:r>
            <w:r>
              <w:rPr>
                <w:rFonts w:ascii="仿宋" w:hAnsi="仿宋" w:eastAsia="仿宋"/>
                <w:b/>
                <w:sz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sz w:val="20"/>
                <w:highlight w:val="none"/>
              </w:rPr>
            </w:pPr>
            <w:r>
              <w:rPr>
                <w:rFonts w:ascii="仿宋" w:hAnsi="仿宋" w:eastAsia="仿宋"/>
                <w:sz w:val="20"/>
                <w:highlight w:val="none"/>
              </w:rPr>
              <w:t>1</w:t>
            </w:r>
          </w:p>
        </w:tc>
        <w:tc>
          <w:tcPr>
            <w:tcW w:w="978" w:type="dxa"/>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sz w:val="20"/>
                <w:highlight w:val="none"/>
              </w:rPr>
            </w:pPr>
            <w:r>
              <w:rPr>
                <w:rFonts w:ascii="仿宋" w:hAnsi="仿宋" w:eastAsia="仿宋"/>
                <w:sz w:val="20"/>
                <w:highlight w:val="none"/>
              </w:rPr>
              <w:t>企业业绩</w:t>
            </w:r>
          </w:p>
        </w:tc>
        <w:tc>
          <w:tcPr>
            <w:tcW w:w="1148" w:type="dxa"/>
            <w:tcBorders>
              <w:top w:val="single" w:color="auto" w:sz="4" w:space="0"/>
              <w:left w:val="single" w:color="auto" w:sz="4" w:space="0"/>
              <w:bottom w:val="single" w:color="auto" w:sz="4" w:space="0"/>
              <w:right w:val="single" w:color="auto" w:sz="4" w:space="0"/>
            </w:tcBorders>
            <w:vAlign w:val="center"/>
          </w:tcPr>
          <w:p>
            <w:pPr>
              <w:pStyle w:val="59"/>
              <w:jc w:val="center"/>
              <w:rPr>
                <w:rFonts w:ascii="仿宋" w:hAnsi="仿宋" w:eastAsia="仿宋"/>
                <w:sz w:val="20"/>
                <w:highlight w:val="none"/>
              </w:rPr>
            </w:pPr>
            <w:r>
              <w:rPr>
                <w:rFonts w:hint="eastAsia" w:ascii="仿宋" w:hAnsi="仿宋" w:eastAsia="仿宋"/>
                <w:sz w:val="20"/>
                <w:highlight w:val="none"/>
              </w:rPr>
              <w:t>5</w:t>
            </w:r>
          </w:p>
        </w:tc>
        <w:tc>
          <w:tcPr>
            <w:tcW w:w="5240" w:type="dxa"/>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sz w:val="20"/>
                <w:highlight w:val="none"/>
              </w:rPr>
            </w:pPr>
            <w:r>
              <w:rPr>
                <w:rFonts w:ascii="仿宋" w:hAnsi="仿宋" w:eastAsia="仿宋"/>
                <w:sz w:val="20"/>
                <w:highlight w:val="none"/>
              </w:rPr>
              <w:t>投标人近两年以来（以合同签订日期为准）具有教育行业相关系统等级保护测评项目案例。有一个得</w:t>
            </w:r>
            <w:r>
              <w:rPr>
                <w:rFonts w:hint="eastAsia" w:ascii="仿宋" w:hAnsi="仿宋" w:eastAsia="仿宋"/>
                <w:sz w:val="20"/>
                <w:highlight w:val="none"/>
              </w:rPr>
              <w:t>1</w:t>
            </w:r>
            <w:r>
              <w:rPr>
                <w:rFonts w:ascii="仿宋" w:hAnsi="仿宋" w:eastAsia="仿宋"/>
                <w:sz w:val="20"/>
                <w:highlight w:val="none"/>
              </w:rPr>
              <w:t>分，最多得</w:t>
            </w:r>
            <w:r>
              <w:rPr>
                <w:rFonts w:hint="eastAsia" w:ascii="仿宋" w:hAnsi="仿宋" w:eastAsia="仿宋"/>
                <w:sz w:val="20"/>
                <w:highlight w:val="none"/>
              </w:rPr>
              <w:t>5</w:t>
            </w:r>
            <w:r>
              <w:rPr>
                <w:rFonts w:ascii="仿宋" w:hAnsi="仿宋" w:eastAsia="仿宋"/>
                <w:sz w:val="20"/>
                <w:highlight w:val="none"/>
              </w:rPr>
              <w:t>分。（提供合同复印件，不提供不得分） 注：需提供合同（首页、体现服务内容页、盖章页）的复印件加盖投标人公章，未提供不得分。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75" w:type="dxa"/>
            <w:gridSpan w:val="4"/>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b/>
                <w:sz w:val="20"/>
                <w:highlight w:val="none"/>
              </w:rPr>
            </w:pPr>
            <w:r>
              <w:rPr>
                <w:rFonts w:ascii="仿宋" w:hAnsi="仿宋" w:eastAsia="仿宋"/>
                <w:b/>
                <w:sz w:val="20"/>
                <w:highlight w:val="none"/>
              </w:rPr>
              <w:t>五</w:t>
            </w:r>
            <w:r>
              <w:rPr>
                <w:rFonts w:hint="eastAsia" w:ascii="仿宋" w:hAnsi="仿宋" w:eastAsia="仿宋"/>
                <w:b/>
                <w:sz w:val="20"/>
                <w:highlight w:val="none"/>
              </w:rPr>
              <w:t xml:space="preserve"> </w:t>
            </w:r>
            <w:r>
              <w:rPr>
                <w:rFonts w:ascii="仿宋" w:hAnsi="仿宋" w:eastAsia="仿宋"/>
                <w:b/>
                <w:sz w:val="20"/>
                <w:highlight w:val="none"/>
              </w:rPr>
              <w:t>服务承诺（</w:t>
            </w:r>
            <w:r>
              <w:rPr>
                <w:rFonts w:hint="eastAsia" w:ascii="仿宋" w:hAnsi="仿宋" w:eastAsia="仿宋"/>
                <w:b/>
                <w:sz w:val="20"/>
                <w:highlight w:val="none"/>
              </w:rPr>
              <w:t>3</w:t>
            </w:r>
            <w:r>
              <w:rPr>
                <w:rFonts w:ascii="仿宋" w:hAnsi="仿宋" w:eastAsia="仿宋"/>
                <w:b/>
                <w:sz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sz w:val="20"/>
                <w:highlight w:val="none"/>
              </w:rPr>
            </w:pPr>
            <w:r>
              <w:rPr>
                <w:rFonts w:ascii="仿宋" w:hAnsi="仿宋" w:eastAsia="仿宋"/>
                <w:sz w:val="20"/>
                <w:highlight w:val="none"/>
              </w:rPr>
              <w:t>1</w:t>
            </w:r>
          </w:p>
        </w:tc>
        <w:tc>
          <w:tcPr>
            <w:tcW w:w="978" w:type="dxa"/>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sz w:val="20"/>
                <w:highlight w:val="none"/>
              </w:rPr>
            </w:pPr>
            <w:r>
              <w:rPr>
                <w:rFonts w:ascii="仿宋" w:hAnsi="仿宋" w:eastAsia="仿宋"/>
                <w:sz w:val="20"/>
                <w:highlight w:val="none"/>
              </w:rPr>
              <w:t>协助整改并及时跟进</w:t>
            </w:r>
          </w:p>
        </w:tc>
        <w:tc>
          <w:tcPr>
            <w:tcW w:w="1148" w:type="dxa"/>
            <w:tcBorders>
              <w:top w:val="single" w:color="auto" w:sz="4" w:space="0"/>
              <w:left w:val="single" w:color="auto" w:sz="4" w:space="0"/>
              <w:bottom w:val="single" w:color="auto" w:sz="4" w:space="0"/>
              <w:right w:val="single" w:color="auto" w:sz="4" w:space="0"/>
            </w:tcBorders>
            <w:vAlign w:val="center"/>
          </w:tcPr>
          <w:p>
            <w:pPr>
              <w:pStyle w:val="59"/>
              <w:jc w:val="center"/>
              <w:rPr>
                <w:rFonts w:ascii="仿宋" w:hAnsi="仿宋" w:eastAsia="仿宋"/>
                <w:sz w:val="20"/>
                <w:highlight w:val="none"/>
              </w:rPr>
            </w:pPr>
            <w:r>
              <w:rPr>
                <w:rFonts w:hint="eastAsia" w:ascii="仿宋" w:hAnsi="仿宋" w:eastAsia="仿宋"/>
                <w:sz w:val="20"/>
                <w:highlight w:val="none"/>
              </w:rPr>
              <w:t>1.5</w:t>
            </w:r>
          </w:p>
        </w:tc>
        <w:tc>
          <w:tcPr>
            <w:tcW w:w="5240" w:type="dxa"/>
            <w:tcBorders>
              <w:top w:val="single" w:color="auto" w:sz="4" w:space="0"/>
              <w:left w:val="single" w:color="auto" w:sz="4" w:space="0"/>
              <w:bottom w:val="single" w:color="auto" w:sz="4" w:space="0"/>
              <w:right w:val="single" w:color="auto" w:sz="4" w:space="0"/>
            </w:tcBorders>
            <w:vAlign w:val="center"/>
          </w:tcPr>
          <w:p>
            <w:pPr>
              <w:pStyle w:val="59"/>
              <w:rPr>
                <w:rFonts w:ascii="仿宋" w:hAnsi="仿宋" w:eastAsia="仿宋"/>
                <w:sz w:val="20"/>
                <w:highlight w:val="none"/>
              </w:rPr>
            </w:pPr>
            <w:r>
              <w:rPr>
                <w:rFonts w:ascii="仿宋" w:hAnsi="仿宋" w:eastAsia="仿宋"/>
                <w:sz w:val="20"/>
                <w:highlight w:val="none"/>
              </w:rPr>
              <w:t>承诺协助招标方为完成信息系统整改提供科学、合理、有效的建议并及时跟进。有该项承诺得</w:t>
            </w:r>
            <w:r>
              <w:rPr>
                <w:rFonts w:hint="eastAsia" w:ascii="仿宋" w:hAnsi="仿宋" w:eastAsia="仿宋"/>
                <w:sz w:val="20"/>
                <w:highlight w:val="none"/>
              </w:rPr>
              <w:t>1.5</w:t>
            </w:r>
            <w:r>
              <w:rPr>
                <w:rFonts w:ascii="仿宋" w:hAnsi="仿宋" w:eastAsia="仿宋"/>
                <w:sz w:val="20"/>
                <w:highlight w:val="none"/>
              </w:rPr>
              <w:t>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pStyle w:val="59"/>
              <w:rPr>
                <w:rFonts w:ascii="仿宋" w:hAnsi="仿宋" w:eastAsia="仿宋"/>
                <w:sz w:val="20"/>
                <w:highlight w:val="none"/>
              </w:rPr>
            </w:pPr>
            <w:r>
              <w:rPr>
                <w:rFonts w:ascii="仿宋" w:hAnsi="仿宋" w:eastAsia="仿宋"/>
                <w:sz w:val="20"/>
                <w:highlight w:val="none"/>
              </w:rPr>
              <w:t>2</w:t>
            </w:r>
          </w:p>
        </w:tc>
        <w:tc>
          <w:tcPr>
            <w:tcW w:w="978" w:type="dxa"/>
            <w:vAlign w:val="center"/>
          </w:tcPr>
          <w:p>
            <w:pPr>
              <w:pStyle w:val="59"/>
              <w:rPr>
                <w:rFonts w:ascii="仿宋" w:hAnsi="仿宋" w:eastAsia="仿宋"/>
                <w:sz w:val="20"/>
                <w:highlight w:val="none"/>
              </w:rPr>
            </w:pPr>
            <w:r>
              <w:rPr>
                <w:rFonts w:ascii="仿宋" w:hAnsi="仿宋" w:eastAsia="仿宋"/>
                <w:sz w:val="20"/>
                <w:highlight w:val="none"/>
              </w:rPr>
              <w:t>培训及后期技术服务工作</w:t>
            </w:r>
          </w:p>
        </w:tc>
        <w:tc>
          <w:tcPr>
            <w:tcW w:w="1148" w:type="dxa"/>
            <w:vAlign w:val="center"/>
          </w:tcPr>
          <w:p>
            <w:pPr>
              <w:pStyle w:val="59"/>
              <w:jc w:val="center"/>
              <w:rPr>
                <w:rFonts w:ascii="仿宋" w:hAnsi="仿宋" w:eastAsia="仿宋"/>
                <w:sz w:val="20"/>
                <w:highlight w:val="none"/>
              </w:rPr>
            </w:pPr>
            <w:r>
              <w:rPr>
                <w:rFonts w:hint="eastAsia" w:ascii="仿宋" w:hAnsi="仿宋" w:eastAsia="仿宋"/>
                <w:sz w:val="20"/>
                <w:highlight w:val="none"/>
              </w:rPr>
              <w:t>1.5</w:t>
            </w:r>
          </w:p>
        </w:tc>
        <w:tc>
          <w:tcPr>
            <w:tcW w:w="5240" w:type="dxa"/>
            <w:vAlign w:val="center"/>
          </w:tcPr>
          <w:p>
            <w:pPr>
              <w:pStyle w:val="59"/>
              <w:rPr>
                <w:rFonts w:ascii="仿宋" w:hAnsi="仿宋" w:eastAsia="仿宋"/>
                <w:sz w:val="20"/>
                <w:highlight w:val="none"/>
              </w:rPr>
            </w:pPr>
            <w:r>
              <w:rPr>
                <w:rFonts w:ascii="仿宋" w:hAnsi="仿宋" w:eastAsia="仿宋"/>
                <w:sz w:val="20"/>
                <w:highlight w:val="none"/>
              </w:rPr>
              <w:t>承诺根据工作需要提供相关培训及测评后的技术支持工作，有该项承诺得</w:t>
            </w:r>
            <w:r>
              <w:rPr>
                <w:rFonts w:hint="eastAsia" w:ascii="仿宋" w:hAnsi="仿宋" w:eastAsia="仿宋"/>
                <w:sz w:val="20"/>
                <w:highlight w:val="none"/>
              </w:rPr>
              <w:t>1.5</w:t>
            </w:r>
            <w:r>
              <w:rPr>
                <w:rFonts w:ascii="仿宋" w:hAnsi="仿宋" w:eastAsia="仿宋"/>
                <w:sz w:val="20"/>
                <w:highlight w:val="none"/>
              </w:rPr>
              <w:t>分，没有得0分。</w:t>
            </w:r>
          </w:p>
        </w:tc>
      </w:tr>
    </w:tbl>
    <w:p>
      <w:pPr>
        <w:pStyle w:val="19"/>
        <w:rPr>
          <w:highlight w:val="none"/>
        </w:rPr>
      </w:pPr>
    </w:p>
    <w:p>
      <w:pPr>
        <w:pStyle w:val="236"/>
        <w:numPr>
          <w:ilvl w:val="0"/>
          <w:numId w:val="5"/>
        </w:numPr>
        <w:spacing w:line="440" w:lineRule="exact"/>
        <w:ind w:firstLineChars="0"/>
        <w:rPr>
          <w:rFonts w:ascii="宋体" w:hAnsi="宋体"/>
          <w:bCs/>
          <w:highlight w:val="none"/>
        </w:rPr>
      </w:pPr>
      <w:r>
        <w:rPr>
          <w:rFonts w:hint="eastAsia" w:ascii="宋体" w:hAnsi="宋体"/>
          <w:bCs/>
          <w:highlight w:val="none"/>
        </w:rPr>
        <w:t>评分细则中要求提供的证明文件及资料等在投标文件中提供复印件，否则不予得分。要求“原件或</w:t>
      </w:r>
      <w:r>
        <w:rPr>
          <w:rFonts w:ascii="宋体" w:hAnsi="宋体"/>
          <w:bCs/>
          <w:highlight w:val="none"/>
        </w:rPr>
        <w:t>公证件</w:t>
      </w:r>
      <w:r>
        <w:rPr>
          <w:rFonts w:hint="eastAsia" w:ascii="宋体" w:hAnsi="宋体"/>
          <w:bCs/>
          <w:highlight w:val="none"/>
        </w:rPr>
        <w:t>核查”的须在投标截止前将相关原件或公证件随同投标文件一并提交以供评委会核查，过时不予接收。</w:t>
      </w:r>
      <w:bookmarkStart w:id="30" w:name="_GoBack"/>
      <w:bookmarkEnd w:id="30"/>
    </w:p>
    <w:p>
      <w:pPr>
        <w:pStyle w:val="236"/>
        <w:numPr>
          <w:ilvl w:val="0"/>
          <w:numId w:val="5"/>
        </w:numPr>
        <w:spacing w:line="440" w:lineRule="exact"/>
        <w:ind w:firstLineChars="0"/>
        <w:rPr>
          <w:rFonts w:ascii="宋体" w:hAnsi="宋体"/>
          <w:bCs/>
          <w:highlight w:val="none"/>
        </w:rPr>
      </w:pPr>
      <w:r>
        <w:rPr>
          <w:rFonts w:hint="eastAsia" w:ascii="宋体" w:hAnsi="宋体"/>
          <w:bCs/>
          <w:highlight w:val="none"/>
        </w:rPr>
        <w:t>评标时，未能按以上要求提供相应证明（复印件和原件、公证件）的，不作为评标依据，不得分。</w:t>
      </w:r>
    </w:p>
    <w:p>
      <w:pPr>
        <w:pStyle w:val="236"/>
        <w:numPr>
          <w:ilvl w:val="0"/>
          <w:numId w:val="0"/>
        </w:numPr>
        <w:spacing w:line="440" w:lineRule="exact"/>
        <w:ind w:leftChars="0"/>
        <w:rPr>
          <w:rFonts w:hint="default" w:ascii="宋体" w:hAnsi="宋体"/>
          <w:bCs/>
          <w:highlight w:val="none"/>
          <w:lang w:val="en-US" w:eastAsia="zh-CN"/>
        </w:rPr>
      </w:pPr>
      <w:r>
        <w:rPr>
          <w:rFonts w:hint="eastAsia" w:ascii="宋体" w:hAnsi="宋体"/>
          <w:bCs/>
          <w:highlight w:val="none"/>
          <w:lang w:eastAsia="zh-CN"/>
        </w:rPr>
        <w:t>（</w:t>
      </w:r>
      <w:r>
        <w:rPr>
          <w:rFonts w:hint="eastAsia" w:ascii="宋体" w:hAnsi="宋体"/>
          <w:bCs/>
          <w:highlight w:val="none"/>
          <w:lang w:val="en-US" w:eastAsia="zh-CN"/>
        </w:rPr>
        <w:t>3</w:t>
      </w:r>
      <w:r>
        <w:rPr>
          <w:rFonts w:hint="eastAsia" w:ascii="宋体" w:hAnsi="宋体"/>
          <w:bCs/>
          <w:highlight w:val="none"/>
          <w:lang w:eastAsia="zh-CN"/>
        </w:rPr>
        <w:t>）</w:t>
      </w:r>
      <w:r>
        <w:rPr>
          <w:rFonts w:hint="eastAsia" w:ascii="宋体" w:hAnsi="宋体"/>
          <w:bCs/>
          <w:highlight w:val="none"/>
          <w:lang w:val="en-US" w:eastAsia="zh-CN"/>
        </w:rPr>
        <w:t>投标人需按提供的格式内容准备相应材料，未提供的格式自定。</w:t>
      </w:r>
    </w:p>
    <w:p>
      <w:pPr>
        <w:pStyle w:val="236"/>
        <w:numPr>
          <w:ilvl w:val="0"/>
          <w:numId w:val="0"/>
        </w:numPr>
        <w:spacing w:line="440" w:lineRule="exact"/>
        <w:ind w:leftChars="0"/>
        <w:rPr>
          <w:rFonts w:ascii="宋体" w:hAnsi="宋体"/>
          <w:bCs/>
          <w:highlight w:val="yellow"/>
        </w:rPr>
      </w:pPr>
      <w:r>
        <w:rPr>
          <w:rFonts w:hint="eastAsia" w:ascii="宋体" w:hAnsi="宋体"/>
          <w:bCs/>
          <w:highlight w:val="none"/>
          <w:lang w:eastAsia="zh-CN"/>
        </w:rPr>
        <w:t>（</w:t>
      </w:r>
      <w:r>
        <w:rPr>
          <w:rFonts w:hint="eastAsia" w:ascii="宋体" w:hAnsi="宋体"/>
          <w:bCs/>
          <w:highlight w:val="none"/>
          <w:lang w:val="en-US" w:eastAsia="zh-CN"/>
        </w:rPr>
        <w:t>4</w:t>
      </w:r>
      <w:r>
        <w:rPr>
          <w:rFonts w:hint="eastAsia" w:ascii="宋体" w:hAnsi="宋体"/>
          <w:bCs/>
          <w:highlight w:val="none"/>
          <w:lang w:eastAsia="zh-CN"/>
        </w:rPr>
        <w:t>）</w:t>
      </w:r>
      <w:r>
        <w:rPr>
          <w:rFonts w:hint="eastAsia" w:ascii="宋体" w:hAnsi="宋体"/>
          <w:bCs/>
          <w:highlight w:val="none"/>
        </w:rPr>
        <w:t>为便于评分，请投标人按评分表样式，逐条列出证明材料所在页码，格式自定。</w:t>
      </w: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D3680"/>
    <w:multiLevelType w:val="singleLevel"/>
    <w:tmpl w:val="247D3680"/>
    <w:lvl w:ilvl="0" w:tentative="0">
      <w:start w:val="2"/>
      <w:numFmt w:val="chineseCounting"/>
      <w:suff w:val="nothing"/>
      <w:lvlText w:val="%1、"/>
      <w:lvlJc w:val="left"/>
      <w:rPr>
        <w:rFonts w:hint="eastAsia"/>
      </w:rPr>
    </w:lvl>
  </w:abstractNum>
  <w:abstractNum w:abstractNumId="1">
    <w:nsid w:val="2ACF7497"/>
    <w:multiLevelType w:val="multilevel"/>
    <w:tmpl w:val="2ACF7497"/>
    <w:lvl w:ilvl="0" w:tentative="0">
      <w:start w:val="1"/>
      <w:numFmt w:val="decimal"/>
      <w:suff w:val="nothing"/>
      <w:lvlText w:val="（%1）"/>
      <w:lvlJc w:val="left"/>
      <w:pPr>
        <w:ind w:left="567" w:hanging="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822FF9"/>
    <w:multiLevelType w:val="multilevel"/>
    <w:tmpl w:val="42822FF9"/>
    <w:lvl w:ilvl="0" w:tentative="0">
      <w:start w:val="1"/>
      <w:numFmt w:val="decimal"/>
      <w:suff w:val="nothing"/>
      <w:lvlText w:val="（%1）"/>
      <w:lvlJc w:val="left"/>
      <w:pPr>
        <w:ind w:left="57" w:hanging="5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1547AD"/>
    <w:multiLevelType w:val="multilevel"/>
    <w:tmpl w:val="601547AD"/>
    <w:lvl w:ilvl="0" w:tentative="0">
      <w:start w:val="1"/>
      <w:numFmt w:val="decimal"/>
      <w:suff w:val="nothing"/>
      <w:lvlText w:val="（%1）"/>
      <w:lvlJc w:val="left"/>
      <w:pPr>
        <w:ind w:left="57" w:hanging="5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4DFE7C2"/>
    <w:multiLevelType w:val="singleLevel"/>
    <w:tmpl w:val="74DFE7C2"/>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1F7F7D"/>
    <w:rsid w:val="00202144"/>
    <w:rsid w:val="00202ACE"/>
    <w:rsid w:val="00203005"/>
    <w:rsid w:val="0020649C"/>
    <w:rsid w:val="002124E9"/>
    <w:rsid w:val="002164DC"/>
    <w:rsid w:val="002168C6"/>
    <w:rsid w:val="002202E2"/>
    <w:rsid w:val="0022084E"/>
    <w:rsid w:val="00222BD0"/>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572EE"/>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39D8"/>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5F7E5F"/>
    <w:rsid w:val="006009CE"/>
    <w:rsid w:val="006014C2"/>
    <w:rsid w:val="00603B98"/>
    <w:rsid w:val="00605E46"/>
    <w:rsid w:val="0061131D"/>
    <w:rsid w:val="00611B66"/>
    <w:rsid w:val="006140AE"/>
    <w:rsid w:val="00615270"/>
    <w:rsid w:val="006152D1"/>
    <w:rsid w:val="006237AA"/>
    <w:rsid w:val="00625069"/>
    <w:rsid w:val="00632DBA"/>
    <w:rsid w:val="00633AB2"/>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1242"/>
    <w:rsid w:val="006F2115"/>
    <w:rsid w:val="006F21BC"/>
    <w:rsid w:val="006F573D"/>
    <w:rsid w:val="00702175"/>
    <w:rsid w:val="007049B7"/>
    <w:rsid w:val="007062E3"/>
    <w:rsid w:val="007112F6"/>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4816"/>
    <w:rsid w:val="0080773B"/>
    <w:rsid w:val="00807F28"/>
    <w:rsid w:val="00810348"/>
    <w:rsid w:val="00810BF9"/>
    <w:rsid w:val="00815136"/>
    <w:rsid w:val="00815DC1"/>
    <w:rsid w:val="00821AA8"/>
    <w:rsid w:val="0082221B"/>
    <w:rsid w:val="00822B8A"/>
    <w:rsid w:val="00822FC7"/>
    <w:rsid w:val="00823024"/>
    <w:rsid w:val="00827A04"/>
    <w:rsid w:val="00827F0A"/>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E678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07FDA"/>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992"/>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61B5"/>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5E81"/>
    <w:rsid w:val="00B167C1"/>
    <w:rsid w:val="00B16AED"/>
    <w:rsid w:val="00B20EE2"/>
    <w:rsid w:val="00B246DB"/>
    <w:rsid w:val="00B256E2"/>
    <w:rsid w:val="00B3064C"/>
    <w:rsid w:val="00B31888"/>
    <w:rsid w:val="00B31C66"/>
    <w:rsid w:val="00B321BA"/>
    <w:rsid w:val="00B51ABE"/>
    <w:rsid w:val="00B53133"/>
    <w:rsid w:val="00B54E85"/>
    <w:rsid w:val="00B575D6"/>
    <w:rsid w:val="00B57ED5"/>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04"/>
    <w:rsid w:val="00C77929"/>
    <w:rsid w:val="00C818D0"/>
    <w:rsid w:val="00C818D7"/>
    <w:rsid w:val="00C82EA3"/>
    <w:rsid w:val="00C8681E"/>
    <w:rsid w:val="00C909FC"/>
    <w:rsid w:val="00C90A10"/>
    <w:rsid w:val="00C918AC"/>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6DE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28FA"/>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363"/>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1EB"/>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314296"/>
    <w:rsid w:val="037D6DB5"/>
    <w:rsid w:val="044B2395"/>
    <w:rsid w:val="04A506EB"/>
    <w:rsid w:val="05B90EFD"/>
    <w:rsid w:val="063503C1"/>
    <w:rsid w:val="06D6508F"/>
    <w:rsid w:val="070C0D93"/>
    <w:rsid w:val="077317CC"/>
    <w:rsid w:val="07863435"/>
    <w:rsid w:val="07DC36F1"/>
    <w:rsid w:val="07EC2C38"/>
    <w:rsid w:val="08157A99"/>
    <w:rsid w:val="084D1FDC"/>
    <w:rsid w:val="0A5D4586"/>
    <w:rsid w:val="0AF46D68"/>
    <w:rsid w:val="0CD93B2B"/>
    <w:rsid w:val="0D6E21D0"/>
    <w:rsid w:val="0DB16D02"/>
    <w:rsid w:val="0E176A1F"/>
    <w:rsid w:val="0E1F61EF"/>
    <w:rsid w:val="0E2347E1"/>
    <w:rsid w:val="0E5F63D3"/>
    <w:rsid w:val="0EC45742"/>
    <w:rsid w:val="1000210B"/>
    <w:rsid w:val="10231302"/>
    <w:rsid w:val="11455560"/>
    <w:rsid w:val="11AB42E7"/>
    <w:rsid w:val="12345C67"/>
    <w:rsid w:val="123F6D4E"/>
    <w:rsid w:val="12975ECB"/>
    <w:rsid w:val="129D2202"/>
    <w:rsid w:val="12EF3E1D"/>
    <w:rsid w:val="12F17F7E"/>
    <w:rsid w:val="13477178"/>
    <w:rsid w:val="144602B9"/>
    <w:rsid w:val="149F56B9"/>
    <w:rsid w:val="15237252"/>
    <w:rsid w:val="15A16E3B"/>
    <w:rsid w:val="15DC04D4"/>
    <w:rsid w:val="15DC2EED"/>
    <w:rsid w:val="16213CBD"/>
    <w:rsid w:val="16F03CC3"/>
    <w:rsid w:val="17682A74"/>
    <w:rsid w:val="17B10322"/>
    <w:rsid w:val="18C2418D"/>
    <w:rsid w:val="19E50873"/>
    <w:rsid w:val="1B355FFB"/>
    <w:rsid w:val="1BB06BD5"/>
    <w:rsid w:val="1BF308AA"/>
    <w:rsid w:val="1CF5356A"/>
    <w:rsid w:val="1D992CC6"/>
    <w:rsid w:val="1E2031CA"/>
    <w:rsid w:val="1E257D0B"/>
    <w:rsid w:val="1F6C2D13"/>
    <w:rsid w:val="1F9322BD"/>
    <w:rsid w:val="1FF41B65"/>
    <w:rsid w:val="20734706"/>
    <w:rsid w:val="20BE7B94"/>
    <w:rsid w:val="20DB0D53"/>
    <w:rsid w:val="215469F9"/>
    <w:rsid w:val="217A49BC"/>
    <w:rsid w:val="22090B55"/>
    <w:rsid w:val="22FF620F"/>
    <w:rsid w:val="23BA24E0"/>
    <w:rsid w:val="23C67102"/>
    <w:rsid w:val="23D467EF"/>
    <w:rsid w:val="249A10BC"/>
    <w:rsid w:val="24B07EA2"/>
    <w:rsid w:val="24BD785B"/>
    <w:rsid w:val="25260323"/>
    <w:rsid w:val="252711D2"/>
    <w:rsid w:val="25BE2536"/>
    <w:rsid w:val="25D17432"/>
    <w:rsid w:val="266E2D99"/>
    <w:rsid w:val="26D225EC"/>
    <w:rsid w:val="27053F26"/>
    <w:rsid w:val="28217BD8"/>
    <w:rsid w:val="284A3B8A"/>
    <w:rsid w:val="28545A5F"/>
    <w:rsid w:val="2864779B"/>
    <w:rsid w:val="28796F20"/>
    <w:rsid w:val="28871D47"/>
    <w:rsid w:val="289E4CB9"/>
    <w:rsid w:val="290631B0"/>
    <w:rsid w:val="291C34F7"/>
    <w:rsid w:val="29562CFF"/>
    <w:rsid w:val="29EA58B6"/>
    <w:rsid w:val="29FB202D"/>
    <w:rsid w:val="2A072518"/>
    <w:rsid w:val="2A7F6599"/>
    <w:rsid w:val="2A8B62A2"/>
    <w:rsid w:val="2AE006E1"/>
    <w:rsid w:val="2BFF63EA"/>
    <w:rsid w:val="2C8B4883"/>
    <w:rsid w:val="2D624150"/>
    <w:rsid w:val="2DD27134"/>
    <w:rsid w:val="2E1D177F"/>
    <w:rsid w:val="2EEC38E2"/>
    <w:rsid w:val="2F261EE0"/>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1E4232"/>
    <w:rsid w:val="3C596B87"/>
    <w:rsid w:val="3C6F43A1"/>
    <w:rsid w:val="3D4D46E9"/>
    <w:rsid w:val="3D615042"/>
    <w:rsid w:val="3E5E273A"/>
    <w:rsid w:val="3F362FBA"/>
    <w:rsid w:val="3F3C2A0F"/>
    <w:rsid w:val="3F427366"/>
    <w:rsid w:val="3FB731F7"/>
    <w:rsid w:val="409E41B0"/>
    <w:rsid w:val="418D1B4A"/>
    <w:rsid w:val="41D70DD0"/>
    <w:rsid w:val="41EC4195"/>
    <w:rsid w:val="420D4161"/>
    <w:rsid w:val="433E1425"/>
    <w:rsid w:val="43B0542D"/>
    <w:rsid w:val="43E4772A"/>
    <w:rsid w:val="4536657D"/>
    <w:rsid w:val="45A22C16"/>
    <w:rsid w:val="45A93CC7"/>
    <w:rsid w:val="45B4445C"/>
    <w:rsid w:val="46160C28"/>
    <w:rsid w:val="47F3326A"/>
    <w:rsid w:val="480E3FB5"/>
    <w:rsid w:val="493D7103"/>
    <w:rsid w:val="497916AE"/>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201ADC"/>
    <w:rsid w:val="4E39435D"/>
    <w:rsid w:val="4E3A3764"/>
    <w:rsid w:val="4ED01077"/>
    <w:rsid w:val="4EDD5A43"/>
    <w:rsid w:val="4EFD69AA"/>
    <w:rsid w:val="4F7F18B2"/>
    <w:rsid w:val="4FCE11B7"/>
    <w:rsid w:val="50CC7B64"/>
    <w:rsid w:val="51DB43D4"/>
    <w:rsid w:val="522618C4"/>
    <w:rsid w:val="52C5386F"/>
    <w:rsid w:val="52EF0AD9"/>
    <w:rsid w:val="53330E3B"/>
    <w:rsid w:val="5422024B"/>
    <w:rsid w:val="54512A59"/>
    <w:rsid w:val="54F355BD"/>
    <w:rsid w:val="552E4C55"/>
    <w:rsid w:val="55490CE0"/>
    <w:rsid w:val="55533C17"/>
    <w:rsid w:val="556F3D99"/>
    <w:rsid w:val="55972DEB"/>
    <w:rsid w:val="55EC30F5"/>
    <w:rsid w:val="56765E85"/>
    <w:rsid w:val="573E6E15"/>
    <w:rsid w:val="57741536"/>
    <w:rsid w:val="57A17781"/>
    <w:rsid w:val="57AF6B30"/>
    <w:rsid w:val="5894552B"/>
    <w:rsid w:val="59F37165"/>
    <w:rsid w:val="5A1A070F"/>
    <w:rsid w:val="5B286423"/>
    <w:rsid w:val="5B3711FF"/>
    <w:rsid w:val="5B7A576F"/>
    <w:rsid w:val="5BCD49EE"/>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1365AD7"/>
    <w:rsid w:val="618E081D"/>
    <w:rsid w:val="6204655B"/>
    <w:rsid w:val="62F4233B"/>
    <w:rsid w:val="63227EBB"/>
    <w:rsid w:val="63294FA2"/>
    <w:rsid w:val="63B55F2E"/>
    <w:rsid w:val="63FB0855"/>
    <w:rsid w:val="641B72CC"/>
    <w:rsid w:val="64A5687B"/>
    <w:rsid w:val="659C281A"/>
    <w:rsid w:val="65B11309"/>
    <w:rsid w:val="66521231"/>
    <w:rsid w:val="66ED6D95"/>
    <w:rsid w:val="67D34CB0"/>
    <w:rsid w:val="67E06DEC"/>
    <w:rsid w:val="681238E7"/>
    <w:rsid w:val="685475D7"/>
    <w:rsid w:val="689B3896"/>
    <w:rsid w:val="69930B58"/>
    <w:rsid w:val="6A3D4C31"/>
    <w:rsid w:val="6A4B5DEA"/>
    <w:rsid w:val="6B31596C"/>
    <w:rsid w:val="6BE21893"/>
    <w:rsid w:val="6C544BEE"/>
    <w:rsid w:val="6C940A1D"/>
    <w:rsid w:val="6C997F3B"/>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C6382D"/>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351BF7"/>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2">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6">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7">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8">
    <w:name w:val="heading 7"/>
    <w:basedOn w:val="1"/>
    <w:next w:val="9"/>
    <w:link w:val="66"/>
    <w:qFormat/>
    <w:uiPriority w:val="0"/>
    <w:pPr>
      <w:keepNext/>
      <w:keepLines/>
      <w:spacing w:before="240" w:after="64" w:line="320" w:lineRule="auto"/>
      <w:outlineLvl w:val="6"/>
    </w:pPr>
    <w:rPr>
      <w:b/>
      <w:kern w:val="0"/>
      <w:sz w:val="24"/>
      <w:szCs w:val="20"/>
    </w:rPr>
  </w:style>
  <w:style w:type="paragraph" w:styleId="10">
    <w:name w:val="heading 8"/>
    <w:basedOn w:val="1"/>
    <w:next w:val="9"/>
    <w:link w:val="6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9"/>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9">
    <w:name w:val="Normal Indent"/>
    <w:basedOn w:val="1"/>
    <w:link w:val="67"/>
    <w:qFormat/>
    <w:uiPriority w:val="0"/>
    <w:pPr>
      <w:ind w:firstLine="420" w:firstLineChars="200"/>
    </w:pPr>
    <w:rPr>
      <w:rFonts w:ascii="Calibri" w:hAnsi="Calibri"/>
      <w:kern w:val="0"/>
      <w:sz w:val="24"/>
      <w:szCs w:val="20"/>
    </w:rPr>
  </w:style>
  <w:style w:type="paragraph" w:styleId="12">
    <w:name w:val="toc 7"/>
    <w:basedOn w:val="1"/>
    <w:next w:val="1"/>
    <w:qFormat/>
    <w:uiPriority w:val="0"/>
    <w:pPr>
      <w:adjustRightInd w:val="0"/>
      <w:spacing w:line="312" w:lineRule="atLeast"/>
      <w:ind w:left="1260"/>
      <w:jc w:val="left"/>
      <w:textAlignment w:val="baseline"/>
    </w:pPr>
    <w:rPr>
      <w:kern w:val="0"/>
      <w:sz w:val="18"/>
      <w:szCs w:val="18"/>
    </w:rPr>
  </w:style>
  <w:style w:type="paragraph" w:styleId="13">
    <w:name w:val="List Number 2"/>
    <w:basedOn w:val="1"/>
    <w:qFormat/>
    <w:uiPriority w:val="0"/>
    <w:pPr>
      <w:widowControl/>
      <w:tabs>
        <w:tab w:val="left" w:pos="820"/>
      </w:tabs>
      <w:spacing w:afterLines="50"/>
      <w:ind w:left="820" w:hanging="420"/>
      <w:jc w:val="left"/>
    </w:pPr>
    <w:rPr>
      <w:kern w:val="0"/>
      <w:sz w:val="24"/>
      <w:szCs w:val="20"/>
    </w:rPr>
  </w:style>
  <w:style w:type="paragraph" w:styleId="14">
    <w:name w:val="List Number"/>
    <w:basedOn w:val="1"/>
    <w:qFormat/>
    <w:uiPriority w:val="0"/>
    <w:pPr>
      <w:adjustRightInd w:val="0"/>
      <w:spacing w:line="360" w:lineRule="auto"/>
      <w:ind w:left="850" w:hanging="425"/>
      <w:textAlignment w:val="baseline"/>
    </w:pPr>
    <w:rPr>
      <w:color w:val="000000"/>
      <w:kern w:val="0"/>
      <w:szCs w:val="20"/>
    </w:rPr>
  </w:style>
  <w:style w:type="paragraph" w:styleId="15">
    <w:name w:val="caption"/>
    <w:basedOn w:val="1"/>
    <w:next w:val="1"/>
    <w:qFormat/>
    <w:uiPriority w:val="0"/>
    <w:pPr>
      <w:spacing w:before="152" w:after="160"/>
    </w:pPr>
    <w:rPr>
      <w:rFonts w:ascii="Arial" w:hAnsi="Arial" w:eastAsia="黑体"/>
      <w:sz w:val="32"/>
      <w:szCs w:val="20"/>
    </w:rPr>
  </w:style>
  <w:style w:type="paragraph" w:styleId="16">
    <w:name w:val="Document Map"/>
    <w:basedOn w:val="1"/>
    <w:link w:val="70"/>
    <w:unhideWhenUsed/>
    <w:qFormat/>
    <w:uiPriority w:val="0"/>
    <w:rPr>
      <w:rFonts w:ascii="宋体"/>
      <w:kern w:val="0"/>
      <w:sz w:val="18"/>
      <w:szCs w:val="18"/>
    </w:rPr>
  </w:style>
  <w:style w:type="paragraph" w:styleId="17">
    <w:name w:val="annotation text"/>
    <w:basedOn w:val="1"/>
    <w:link w:val="71"/>
    <w:qFormat/>
    <w:uiPriority w:val="99"/>
    <w:pPr>
      <w:jc w:val="left"/>
    </w:pPr>
    <w:rPr>
      <w:kern w:val="0"/>
      <w:sz w:val="20"/>
    </w:rPr>
  </w:style>
  <w:style w:type="paragraph" w:styleId="18">
    <w:name w:val="Body Text 3"/>
    <w:basedOn w:val="1"/>
    <w:link w:val="72"/>
    <w:qFormat/>
    <w:uiPriority w:val="0"/>
    <w:pPr>
      <w:spacing w:after="120"/>
    </w:pPr>
    <w:rPr>
      <w:kern w:val="0"/>
      <w:sz w:val="16"/>
      <w:szCs w:val="16"/>
    </w:rPr>
  </w:style>
  <w:style w:type="paragraph" w:styleId="19">
    <w:name w:val="Body Text"/>
    <w:basedOn w:val="1"/>
    <w:link w:val="73"/>
    <w:qFormat/>
    <w:uiPriority w:val="0"/>
    <w:pPr>
      <w:spacing w:after="120"/>
    </w:pPr>
    <w:rPr>
      <w:kern w:val="0"/>
      <w:sz w:val="20"/>
    </w:rPr>
  </w:style>
  <w:style w:type="paragraph" w:styleId="20">
    <w:name w:val="Body Text Indent"/>
    <w:basedOn w:val="1"/>
    <w:link w:val="74"/>
    <w:qFormat/>
    <w:uiPriority w:val="0"/>
    <w:pPr>
      <w:ind w:firstLine="640" w:firstLineChars="200"/>
    </w:pPr>
    <w:rPr>
      <w:rFonts w:ascii="仿宋_GB2312" w:hAnsi="Arial" w:eastAsia="仿宋_GB2312"/>
      <w:kern w:val="0"/>
      <w:sz w:val="32"/>
      <w:szCs w:val="32"/>
    </w:rPr>
  </w:style>
  <w:style w:type="paragraph" w:styleId="21">
    <w:name w:val="List Number 3"/>
    <w:basedOn w:val="1"/>
    <w:qFormat/>
    <w:uiPriority w:val="0"/>
    <w:pPr>
      <w:widowControl/>
      <w:tabs>
        <w:tab w:val="left" w:pos="1050"/>
      </w:tabs>
      <w:spacing w:afterLines="50"/>
      <w:ind w:left="1050" w:hanging="340"/>
      <w:jc w:val="left"/>
    </w:pPr>
    <w:rPr>
      <w:kern w:val="0"/>
      <w:sz w:val="24"/>
      <w:szCs w:val="20"/>
    </w:rPr>
  </w:style>
  <w:style w:type="paragraph" w:styleId="22">
    <w:name w:val="List 2"/>
    <w:basedOn w:val="1"/>
    <w:qFormat/>
    <w:uiPriority w:val="0"/>
    <w:pPr>
      <w:tabs>
        <w:tab w:val="left" w:pos="1020"/>
      </w:tabs>
      <w:spacing w:line="360" w:lineRule="exact"/>
      <w:ind w:left="1020" w:hanging="420"/>
    </w:pPr>
    <w:rPr>
      <w:bCs/>
    </w:rPr>
  </w:style>
  <w:style w:type="paragraph" w:styleId="23">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4">
    <w:name w:val="index 4"/>
    <w:basedOn w:val="1"/>
    <w:next w:val="1"/>
    <w:qFormat/>
    <w:uiPriority w:val="0"/>
    <w:pPr>
      <w:ind w:left="600" w:leftChars="600"/>
    </w:pPr>
    <w:rPr>
      <w:rFonts w:ascii="Verdana" w:hAnsi="Verdana"/>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75"/>
    <w:qFormat/>
    <w:uiPriority w:val="0"/>
    <w:rPr>
      <w:rFonts w:ascii="宋体" w:hAnsi="Courier New"/>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link w:val="76"/>
    <w:qFormat/>
    <w:uiPriority w:val="0"/>
    <w:pPr>
      <w:spacing w:before="50"/>
      <w:ind w:left="200" w:firstLine="200" w:firstLineChars="200"/>
    </w:pPr>
    <w:rPr>
      <w:kern w:val="0"/>
      <w:sz w:val="24"/>
      <w:szCs w:val="20"/>
    </w:rPr>
  </w:style>
  <w:style w:type="paragraph" w:styleId="30">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link w:val="78"/>
    <w:qFormat/>
    <w:uiPriority w:val="0"/>
    <w:rPr>
      <w:kern w:val="0"/>
      <w:sz w:val="18"/>
      <w:szCs w:val="18"/>
    </w:rPr>
  </w:style>
  <w:style w:type="paragraph" w:styleId="32">
    <w:name w:val="footer"/>
    <w:basedOn w:val="1"/>
    <w:link w:val="79"/>
    <w:qFormat/>
    <w:uiPriority w:val="99"/>
    <w:pPr>
      <w:tabs>
        <w:tab w:val="center" w:pos="4153"/>
        <w:tab w:val="right" w:pos="8306"/>
      </w:tabs>
      <w:snapToGrid w:val="0"/>
      <w:jc w:val="left"/>
    </w:pPr>
    <w:rPr>
      <w:kern w:val="0"/>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81"/>
    <w:qFormat/>
    <w:uiPriority w:val="0"/>
    <w:pPr>
      <w:widowControl/>
      <w:jc w:val="left"/>
    </w:pPr>
    <w:rPr>
      <w:rFonts w:ascii="Tahoma" w:hAnsi="Tahoma"/>
      <w:kern w:val="0"/>
      <w:sz w:val="24"/>
      <w:szCs w:val="20"/>
      <w:lang w:val="de-DE" w:eastAsia="de-DE"/>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adjustRightInd w:val="0"/>
      <w:spacing w:line="312" w:lineRule="atLeast"/>
      <w:ind w:left="630"/>
      <w:jc w:val="left"/>
      <w:textAlignment w:val="baseline"/>
    </w:pPr>
    <w:rPr>
      <w:kern w:val="0"/>
      <w:sz w:val="18"/>
      <w:szCs w:val="18"/>
    </w:rPr>
  </w:style>
  <w:style w:type="paragraph" w:styleId="37">
    <w:name w:val="index heading"/>
    <w:basedOn w:val="1"/>
    <w:next w:val="38"/>
    <w:qFormat/>
    <w:uiPriority w:val="0"/>
    <w:rPr>
      <w:szCs w:val="20"/>
    </w:rPr>
  </w:style>
  <w:style w:type="paragraph" w:styleId="38">
    <w:name w:val="index 1"/>
    <w:basedOn w:val="1"/>
    <w:next w:val="1"/>
    <w:unhideWhenUsed/>
    <w:qFormat/>
    <w:uiPriority w:val="0"/>
    <w:pPr>
      <w:adjustRightInd w:val="0"/>
      <w:spacing w:line="312" w:lineRule="atLeast"/>
      <w:textAlignment w:val="baseline"/>
    </w:pPr>
    <w:rPr>
      <w:kern w:val="0"/>
      <w:szCs w:val="20"/>
    </w:rPr>
  </w:style>
  <w:style w:type="paragraph" w:styleId="39">
    <w:name w:val="toc 6"/>
    <w:basedOn w:val="1"/>
    <w:next w:val="1"/>
    <w:qFormat/>
    <w:uiPriority w:val="0"/>
    <w:pPr>
      <w:adjustRightInd w:val="0"/>
      <w:spacing w:line="312" w:lineRule="atLeast"/>
      <w:ind w:left="1050"/>
      <w:jc w:val="left"/>
      <w:textAlignment w:val="baseline"/>
    </w:pPr>
    <w:rPr>
      <w:kern w:val="0"/>
      <w:sz w:val="18"/>
      <w:szCs w:val="18"/>
    </w:rPr>
  </w:style>
  <w:style w:type="paragraph" w:styleId="40">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1">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2">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3">
    <w:name w:val="toc 9"/>
    <w:basedOn w:val="1"/>
    <w:next w:val="1"/>
    <w:qFormat/>
    <w:uiPriority w:val="0"/>
    <w:pPr>
      <w:adjustRightInd w:val="0"/>
      <w:spacing w:line="312" w:lineRule="atLeast"/>
      <w:ind w:left="1680"/>
      <w:jc w:val="left"/>
      <w:textAlignment w:val="baseline"/>
    </w:pPr>
    <w:rPr>
      <w:kern w:val="0"/>
      <w:sz w:val="18"/>
      <w:szCs w:val="18"/>
    </w:rPr>
  </w:style>
  <w:style w:type="paragraph" w:styleId="44">
    <w:name w:val="Body Text 2"/>
    <w:basedOn w:val="1"/>
    <w:link w:val="83"/>
    <w:qFormat/>
    <w:uiPriority w:val="0"/>
    <w:pPr>
      <w:widowControl/>
      <w:jc w:val="center"/>
    </w:pPr>
    <w:rPr>
      <w:rFonts w:ascii="Arial" w:hAnsi="Arial"/>
      <w:kern w:val="0"/>
      <w:sz w:val="16"/>
      <w:szCs w:val="20"/>
    </w:r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annotation subject"/>
    <w:basedOn w:val="17"/>
    <w:next w:val="17"/>
    <w:link w:val="85"/>
    <w:qFormat/>
    <w:uiPriority w:val="0"/>
    <w:rPr>
      <w:b/>
      <w:bCs/>
    </w:rPr>
  </w:style>
  <w:style w:type="paragraph" w:styleId="48">
    <w:name w:val="Body Text First Indent"/>
    <w:basedOn w:val="19"/>
    <w:link w:val="86"/>
    <w:qFormat/>
    <w:uiPriority w:val="0"/>
    <w:pPr>
      <w:ind w:firstLine="420"/>
    </w:pPr>
    <w:rPr>
      <w:szCs w:val="20"/>
    </w:rPr>
  </w:style>
  <w:style w:type="paragraph" w:styleId="49">
    <w:name w:val="Body Text First Indent 2"/>
    <w:basedOn w:val="20"/>
    <w:link w:val="87"/>
    <w:qFormat/>
    <w:uiPriority w:val="0"/>
    <w:pPr>
      <w:adjustRightInd w:val="0"/>
      <w:spacing w:after="120" w:line="360" w:lineRule="auto"/>
      <w:ind w:left="420" w:firstLine="420" w:firstLineChars="0"/>
      <w:textAlignment w:val="baseline"/>
    </w:pPr>
    <w:rPr>
      <w:color w:val="000000"/>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2"/>
    <w:qFormat/>
    <w:uiPriority w:val="0"/>
    <w:rPr>
      <w:rFonts w:ascii="Calibri" w:hAnsi="Calibri" w:eastAsia="楷体_GB2312" w:cs="Times New Roman"/>
      <w:b/>
      <w:bCs/>
      <w:sz w:val="28"/>
      <w:szCs w:val="28"/>
    </w:rPr>
  </w:style>
  <w:style w:type="character" w:customStyle="1" w:styleId="64">
    <w:name w:val="标题 5 字符"/>
    <w:link w:val="6"/>
    <w:qFormat/>
    <w:uiPriority w:val="0"/>
    <w:rPr>
      <w:rFonts w:ascii="Calibri" w:hAnsi="Calibri" w:eastAsia="宋体" w:cs="Times New Roman"/>
      <w:b/>
      <w:bCs/>
      <w:sz w:val="28"/>
      <w:szCs w:val="28"/>
    </w:rPr>
  </w:style>
  <w:style w:type="character" w:customStyle="1" w:styleId="65">
    <w:name w:val="标题 6 字符"/>
    <w:link w:val="7"/>
    <w:qFormat/>
    <w:uiPriority w:val="0"/>
    <w:rPr>
      <w:rFonts w:ascii="Arial" w:hAnsi="Arial" w:eastAsia="黑体" w:cs="Times New Roman"/>
      <w:b/>
      <w:bCs/>
      <w:sz w:val="24"/>
      <w:szCs w:val="24"/>
    </w:rPr>
  </w:style>
  <w:style w:type="character" w:customStyle="1" w:styleId="66">
    <w:name w:val="标题 7 字符"/>
    <w:link w:val="8"/>
    <w:qFormat/>
    <w:uiPriority w:val="0"/>
    <w:rPr>
      <w:rFonts w:ascii="Times New Roman" w:hAnsi="Times New Roman" w:eastAsia="宋体" w:cs="Times New Roman"/>
      <w:b/>
      <w:sz w:val="24"/>
      <w:szCs w:val="20"/>
    </w:rPr>
  </w:style>
  <w:style w:type="character" w:customStyle="1" w:styleId="67">
    <w:name w:val="正文缩进 字符"/>
    <w:link w:val="9"/>
    <w:qFormat/>
    <w:uiPriority w:val="0"/>
    <w:rPr>
      <w:sz w:val="24"/>
    </w:rPr>
  </w:style>
  <w:style w:type="character" w:customStyle="1" w:styleId="68">
    <w:name w:val="标题 8 字符"/>
    <w:link w:val="10"/>
    <w:qFormat/>
    <w:uiPriority w:val="0"/>
    <w:rPr>
      <w:rFonts w:ascii="Arial" w:hAnsi="Arial" w:eastAsia="黑体" w:cs="Times New Roman"/>
      <w:sz w:val="24"/>
      <w:szCs w:val="20"/>
    </w:rPr>
  </w:style>
  <w:style w:type="character" w:customStyle="1" w:styleId="69">
    <w:name w:val="标题 9 字符"/>
    <w:link w:val="11"/>
    <w:qFormat/>
    <w:uiPriority w:val="0"/>
    <w:rPr>
      <w:rFonts w:ascii="Arial" w:hAnsi="Arial" w:eastAsia="黑体" w:cs="Times New Roman"/>
      <w:szCs w:val="20"/>
    </w:rPr>
  </w:style>
  <w:style w:type="character" w:customStyle="1" w:styleId="70">
    <w:name w:val="文档结构图 字符"/>
    <w:link w:val="16"/>
    <w:qFormat/>
    <w:uiPriority w:val="0"/>
    <w:rPr>
      <w:rFonts w:ascii="宋体" w:hAnsi="Times New Roman" w:eastAsia="宋体" w:cs="Times New Roman"/>
      <w:sz w:val="18"/>
      <w:szCs w:val="18"/>
    </w:rPr>
  </w:style>
  <w:style w:type="character" w:customStyle="1" w:styleId="71">
    <w:name w:val="批注文字 字符"/>
    <w:link w:val="17"/>
    <w:qFormat/>
    <w:uiPriority w:val="99"/>
    <w:rPr>
      <w:rFonts w:ascii="Times New Roman" w:hAnsi="Times New Roman" w:eastAsia="宋体" w:cs="Times New Roman"/>
      <w:szCs w:val="24"/>
    </w:rPr>
  </w:style>
  <w:style w:type="character" w:customStyle="1" w:styleId="72">
    <w:name w:val="正文文本 3 字符"/>
    <w:link w:val="18"/>
    <w:qFormat/>
    <w:uiPriority w:val="0"/>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eastAsia="宋体" w:cs="Times New Roman"/>
      <w:szCs w:val="24"/>
    </w:rPr>
  </w:style>
  <w:style w:type="character" w:customStyle="1" w:styleId="74">
    <w:name w:val="正文文本缩进 字符"/>
    <w:link w:val="20"/>
    <w:qFormat/>
    <w:uiPriority w:val="0"/>
    <w:rPr>
      <w:rFonts w:ascii="仿宋_GB2312" w:hAnsi="Arial" w:eastAsia="仿宋_GB2312" w:cs="Times New Roman"/>
      <w:sz w:val="32"/>
      <w:szCs w:val="32"/>
    </w:rPr>
  </w:style>
  <w:style w:type="character" w:customStyle="1" w:styleId="75">
    <w:name w:val="纯文本 字符"/>
    <w:link w:val="27"/>
    <w:qFormat/>
    <w:uiPriority w:val="0"/>
    <w:rPr>
      <w:rFonts w:ascii="宋体" w:hAnsi="Courier New" w:eastAsia="宋体" w:cs="Times New Roman"/>
      <w:szCs w:val="20"/>
    </w:rPr>
  </w:style>
  <w:style w:type="character" w:customStyle="1" w:styleId="76">
    <w:name w:val="日期 字符"/>
    <w:link w:val="29"/>
    <w:qFormat/>
    <w:uiPriority w:val="0"/>
    <w:rPr>
      <w:rFonts w:ascii="Times New Roman" w:hAnsi="Times New Roman" w:eastAsia="宋体" w:cs="Times New Roman"/>
      <w:sz w:val="24"/>
      <w:szCs w:val="20"/>
    </w:rPr>
  </w:style>
  <w:style w:type="character" w:customStyle="1" w:styleId="77">
    <w:name w:val="正文文本缩进 2 字符"/>
    <w:link w:val="30"/>
    <w:qFormat/>
    <w:uiPriority w:val="0"/>
    <w:rPr>
      <w:rFonts w:ascii="楷体_GB2312" w:hAnsi="Times New Roman" w:eastAsia="楷体_GB2312" w:cs="Times New Roman"/>
      <w:sz w:val="24"/>
      <w:szCs w:val="20"/>
    </w:rPr>
  </w:style>
  <w:style w:type="character" w:customStyle="1" w:styleId="78">
    <w:name w:val="批注框文本 字符"/>
    <w:link w:val="31"/>
    <w:qFormat/>
    <w:uiPriority w:val="0"/>
    <w:rPr>
      <w:rFonts w:ascii="Times New Roman" w:hAnsi="Times New Roman" w:eastAsia="宋体" w:cs="Times New Roman"/>
      <w:sz w:val="18"/>
      <w:szCs w:val="18"/>
    </w:rPr>
  </w:style>
  <w:style w:type="character" w:customStyle="1" w:styleId="79">
    <w:name w:val="页脚 字符"/>
    <w:link w:val="32"/>
    <w:qFormat/>
    <w:uiPriority w:val="99"/>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eastAsia="宋体" w:cs="Times New Roman"/>
      <w:sz w:val="18"/>
      <w:szCs w:val="18"/>
    </w:rPr>
  </w:style>
  <w:style w:type="character" w:customStyle="1" w:styleId="81">
    <w:name w:val="签名 字符"/>
    <w:link w:val="34"/>
    <w:qFormat/>
    <w:uiPriority w:val="0"/>
    <w:rPr>
      <w:rFonts w:ascii="Tahoma" w:hAnsi="Tahoma" w:cs="Tahoma"/>
      <w:sz w:val="24"/>
      <w:lang w:val="de-DE" w:eastAsia="de-DE"/>
    </w:rPr>
  </w:style>
  <w:style w:type="character" w:customStyle="1" w:styleId="82">
    <w:name w:val="正文文本缩进 3 字符"/>
    <w:link w:val="40"/>
    <w:qFormat/>
    <w:uiPriority w:val="0"/>
    <w:rPr>
      <w:rFonts w:ascii="楷体_GB2312" w:hAnsi="Times New Roman" w:eastAsia="楷体_GB2312" w:cs="Times New Roman"/>
      <w:b/>
      <w:bCs/>
      <w:sz w:val="24"/>
      <w:szCs w:val="20"/>
    </w:rPr>
  </w:style>
  <w:style w:type="character" w:customStyle="1" w:styleId="83">
    <w:name w:val="正文文本 2 字符"/>
    <w:link w:val="44"/>
    <w:qFormat/>
    <w:uiPriority w:val="0"/>
    <w:rPr>
      <w:rFonts w:ascii="Arial" w:hAnsi="Arial" w:eastAsia="宋体" w:cs="Times New Roman"/>
      <w:kern w:val="0"/>
      <w:sz w:val="16"/>
      <w:szCs w:val="20"/>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批注主题 字符"/>
    <w:link w:val="47"/>
    <w:qFormat/>
    <w:uiPriority w:val="0"/>
    <w:rPr>
      <w:rFonts w:ascii="Times New Roman" w:hAnsi="Times New Roman" w:eastAsia="宋体" w:cs="Times New Roman"/>
      <w:b/>
      <w:bCs/>
      <w:szCs w:val="24"/>
    </w:rPr>
  </w:style>
  <w:style w:type="character" w:customStyle="1" w:styleId="86">
    <w:name w:val="正文首行缩进 字符"/>
    <w:link w:val="48"/>
    <w:qFormat/>
    <w:uiPriority w:val="0"/>
    <w:rPr>
      <w:rFonts w:ascii="Times New Roman" w:hAnsi="Times New Roman" w:eastAsia="宋体" w:cs="Times New Roman"/>
      <w:szCs w:val="20"/>
    </w:rPr>
  </w:style>
  <w:style w:type="character" w:customStyle="1" w:styleId="87">
    <w:name w:val="正文首行缩进 2 字符"/>
    <w:link w:val="49"/>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9"/>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6"/>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6"/>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2"/>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9"/>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9"/>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7E7B-CD49-4FF7-A23A-FD2F11695ED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6891</Words>
  <Characters>7281</Characters>
  <Lines>55</Lines>
  <Paragraphs>15</Paragraphs>
  <TotalTime>83</TotalTime>
  <ScaleCrop>false</ScaleCrop>
  <LinksUpToDate>false</LinksUpToDate>
  <CharactersWithSpaces>7540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2024-10-16T06:38:00Z</dcterms:created>
  <dc:creator>未定义</dc:creator>
  <cp:lastModifiedBy>不主动先生 </cp:lastModifiedBy>
  <cp:lastPrinted>2024-10-14T07:17:00Z</cp:lastPrinted>
  <dcterms:modified xsi:type="dcterms:W3CDTF">2024-10-17T00:57:29Z</dcterms:modified>
  <dc:title>货物类政府采购项目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600C27F8492B4A8AA09548E52957FE59</vt:lpwstr>
  </property>
</Properties>
</file>